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F5A1D">
      <w:pPr>
        <w:autoSpaceDE/>
        <w:autoSpaceDN/>
        <w:adjustRightInd/>
        <w:snapToGrid/>
        <w:spacing w:after="0"/>
        <w:jc w:val="left"/>
        <w:rPr>
          <w:rFonts w:hint="default" w:ascii="Arial" w:hAnsi="Arial" w:eastAsia="Times New Roman" w:cs="Arial"/>
          <w:color w:val="000000"/>
          <w:sz w:val="16"/>
          <w:szCs w:val="16"/>
          <w:lang w:val="en-US"/>
        </w:rPr>
      </w:pPr>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w:t>
      </w:r>
      <w:r>
        <w:rPr>
          <w:rFonts w:hint="eastAsia"/>
          <w:b/>
          <w:kern w:val="2"/>
          <w:lang w:val="en-US" w:eastAsia="zh-CN"/>
        </w:rPr>
        <w:t>2</w:t>
      </w:r>
      <w:r>
        <w:rPr>
          <w:b/>
          <w:kern w:val="2"/>
          <w:lang w:eastAsia="zh-CN"/>
        </w:rPr>
        <w:tab/>
      </w:r>
      <w:r>
        <w:rPr>
          <w:b/>
          <w:kern w:val="2"/>
          <w:lang w:eastAsia="zh-CN"/>
        </w:rPr>
        <w:tab/>
      </w:r>
      <w:r>
        <w:rPr>
          <w:b/>
          <w:kern w:val="2"/>
          <w:lang w:eastAsia="zh-CN"/>
        </w:rPr>
        <w:tab/>
      </w:r>
      <w:r>
        <w:rPr>
          <w:b/>
          <w:kern w:val="2"/>
          <w:lang w:eastAsia="zh-CN"/>
        </w:rPr>
        <w:tab/>
      </w:r>
      <w:r>
        <w:rPr>
          <w:b/>
          <w:kern w:val="2"/>
          <w:lang w:eastAsia="zh-CN"/>
        </w:rPr>
        <w:t xml:space="preserve">                                    </w:t>
      </w:r>
      <w:r>
        <w:rPr>
          <w:rFonts w:hint="eastAsia"/>
          <w:b/>
          <w:kern w:val="2"/>
          <w:lang w:eastAsia="zh-CN"/>
        </w:rPr>
        <w:t xml:space="preserve">               </w:t>
      </w:r>
      <w:r>
        <w:rPr>
          <w:b/>
          <w:kern w:val="2"/>
          <w:lang w:eastAsia="zh-CN"/>
        </w:rPr>
        <w:t xml:space="preserve">               R1-</w:t>
      </w:r>
      <w:r>
        <w:rPr>
          <w:b/>
          <w:bCs/>
          <w:kern w:val="2"/>
          <w:lang w:eastAsia="zh-CN"/>
        </w:rPr>
        <w:t>2</w:t>
      </w:r>
      <w:r>
        <w:rPr>
          <w:rFonts w:hint="eastAsia"/>
          <w:b/>
          <w:bCs/>
          <w:kern w:val="2"/>
          <w:lang w:eastAsia="zh-CN"/>
        </w:rPr>
        <w:t>5</w:t>
      </w:r>
      <w:r>
        <w:rPr>
          <w:rFonts w:hint="eastAsia"/>
          <w:b/>
          <w:bCs/>
          <w:kern w:val="2"/>
          <w:lang w:val="en-US" w:eastAsia="zh-CN"/>
        </w:rPr>
        <w:t>05698</w:t>
      </w:r>
    </w:p>
    <w:p w14:paraId="4BE0EE90">
      <w:pPr>
        <w:jc w:val="left"/>
        <w:rPr>
          <w:b/>
          <w:kern w:val="2"/>
          <w:lang w:eastAsia="zh-CN"/>
        </w:rPr>
      </w:pPr>
      <w:r>
        <w:rPr>
          <w:rFonts w:hint="eastAsia"/>
          <w:b/>
          <w:kern w:val="2"/>
          <w:lang w:eastAsia="zh-CN"/>
        </w:rPr>
        <w:t>Bengaluru</w:t>
      </w:r>
      <w:r>
        <w:rPr>
          <w:b/>
          <w:kern w:val="2"/>
          <w:lang w:eastAsia="zh-CN"/>
        </w:rPr>
        <w:t xml:space="preserve">, </w:t>
      </w:r>
      <w:r>
        <w:rPr>
          <w:rFonts w:hint="eastAsia"/>
          <w:b/>
          <w:kern w:val="2"/>
          <w:lang w:val="en-US" w:eastAsia="zh-CN"/>
        </w:rPr>
        <w:t>India</w:t>
      </w:r>
      <w:r>
        <w:rPr>
          <w:b/>
          <w:kern w:val="2"/>
          <w:lang w:eastAsia="zh-CN"/>
        </w:rPr>
        <w:t xml:space="preserve">, </w:t>
      </w:r>
      <w:r>
        <w:rPr>
          <w:rFonts w:hint="eastAsia"/>
          <w:b/>
          <w:kern w:val="2"/>
          <w:lang w:val="en-US" w:eastAsia="zh-CN"/>
        </w:rPr>
        <w:t>Aug</w:t>
      </w:r>
      <w:r>
        <w:rPr>
          <w:rFonts w:hint="eastAsia"/>
          <w:b/>
          <w:kern w:val="2"/>
          <w:lang w:eastAsia="zh-CN"/>
        </w:rPr>
        <w:t xml:space="preserve"> </w:t>
      </w:r>
      <w:r>
        <w:rPr>
          <w:rFonts w:hint="eastAsia"/>
          <w:b/>
          <w:kern w:val="2"/>
          <w:lang w:val="en-US" w:eastAsia="zh-CN"/>
        </w:rPr>
        <w:t>25</w:t>
      </w:r>
      <w:r>
        <w:rPr>
          <w:b/>
          <w:kern w:val="2"/>
          <w:vertAlign w:val="superscript"/>
          <w:lang w:eastAsia="zh-CN"/>
        </w:rPr>
        <w:t>th</w:t>
      </w:r>
      <w:r>
        <w:rPr>
          <w:b/>
          <w:kern w:val="2"/>
          <w:lang w:eastAsia="zh-CN"/>
        </w:rPr>
        <w:t xml:space="preserve"> – </w:t>
      </w:r>
      <w:r>
        <w:rPr>
          <w:rFonts w:hint="eastAsia"/>
          <w:b/>
          <w:kern w:val="2"/>
          <w:lang w:eastAsia="zh-CN"/>
        </w:rPr>
        <w:t>2</w:t>
      </w:r>
      <w:r>
        <w:rPr>
          <w:rFonts w:hint="eastAsia"/>
          <w:b/>
          <w:kern w:val="2"/>
          <w:lang w:val="en-US" w:eastAsia="zh-CN"/>
        </w:rPr>
        <w:t>9</w:t>
      </w:r>
      <w:r>
        <w:rPr>
          <w:rFonts w:hint="eastAsia"/>
          <w:b/>
          <w:kern w:val="2"/>
          <w:vertAlign w:val="superscript"/>
          <w:lang w:val="en-US" w:eastAsia="zh-CN"/>
        </w:rPr>
        <w:t>th</w:t>
      </w:r>
      <w:r>
        <w:rPr>
          <w:b/>
          <w:kern w:val="2"/>
          <w:lang w:eastAsia="zh-CN"/>
        </w:rPr>
        <w:t>,</w:t>
      </w:r>
      <w:r>
        <w:rPr>
          <w:rFonts w:hint="eastAsia"/>
          <w:b/>
          <w:kern w:val="2"/>
          <w:lang w:eastAsia="zh-CN"/>
        </w:rPr>
        <w:t xml:space="preserve"> </w:t>
      </w:r>
      <w:r>
        <w:rPr>
          <w:b/>
          <w:kern w:val="2"/>
          <w:lang w:eastAsia="zh-CN"/>
        </w:rPr>
        <w:t>202</w:t>
      </w:r>
      <w:r>
        <w:rPr>
          <w:rFonts w:hint="eastAsia"/>
          <w:b/>
          <w:kern w:val="2"/>
          <w:lang w:eastAsia="zh-CN"/>
        </w:rPr>
        <w:t>5</w:t>
      </w:r>
    </w:p>
    <w:p w14:paraId="0F2CF709">
      <w:pPr>
        <w:pBdr>
          <w:top w:val="single" w:color="auto" w:sz="4" w:space="1"/>
        </w:pBdr>
        <w:spacing w:after="0"/>
        <w:jc w:val="left"/>
        <w:rPr>
          <w:b/>
          <w:kern w:val="2"/>
          <w:sz w:val="16"/>
          <w:szCs w:val="16"/>
          <w:lang w:eastAsia="zh-CN"/>
        </w:rPr>
      </w:pPr>
    </w:p>
    <w:p w14:paraId="4B0DDD40">
      <w:pPr>
        <w:spacing w:after="60"/>
        <w:ind w:left="1555" w:hanging="1555"/>
        <w:jc w:val="left"/>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11.5</w:t>
      </w:r>
    </w:p>
    <w:p w14:paraId="6DEDB6F1">
      <w:pPr>
        <w:spacing w:after="60"/>
        <w:ind w:left="1555" w:hanging="1555"/>
        <w:jc w:val="left"/>
        <w:rPr>
          <w:b/>
          <w:kern w:val="2"/>
          <w:lang w:eastAsia="zh-CN"/>
        </w:rPr>
      </w:pPr>
      <w:r>
        <w:rPr>
          <w:b/>
          <w:kern w:val="2"/>
          <w:lang w:eastAsia="zh-CN"/>
        </w:rPr>
        <w:t>Source:</w:t>
      </w:r>
      <w:r>
        <w:rPr>
          <w:b/>
          <w:kern w:val="2"/>
          <w:lang w:eastAsia="zh-CN"/>
        </w:rPr>
        <w:tab/>
      </w:r>
      <w:r>
        <w:rPr>
          <w:b/>
          <w:kern w:val="2"/>
          <w:lang w:eastAsia="zh-CN"/>
        </w:rPr>
        <w:t xml:space="preserve">TCL  </w:t>
      </w:r>
    </w:p>
    <w:p w14:paraId="53901B75">
      <w:pPr>
        <w:spacing w:after="60"/>
        <w:ind w:left="1555" w:hanging="1555"/>
        <w:jc w:val="left"/>
        <w:rPr>
          <w:rFonts w:hint="default"/>
          <w:b/>
          <w:kern w:val="2"/>
          <w:lang w:val="en-US" w:eastAsia="zh-CN"/>
        </w:rPr>
      </w:pPr>
      <w:r>
        <w:rPr>
          <w:b/>
          <w:kern w:val="2"/>
          <w:lang w:eastAsia="zh-CN"/>
        </w:rPr>
        <w:t>Title:</w:t>
      </w:r>
      <w:r>
        <w:rPr>
          <w:b/>
          <w:kern w:val="2"/>
          <w:lang w:eastAsia="zh-CN"/>
        </w:rPr>
        <w:tab/>
      </w:r>
      <w:r>
        <w:rPr>
          <w:b/>
          <w:kern w:val="2"/>
          <w:lang w:eastAsia="zh-CN"/>
        </w:rPr>
        <w:t xml:space="preserve">Discussion on </w:t>
      </w:r>
      <w:r>
        <w:rPr>
          <w:rFonts w:hint="eastAsia"/>
          <w:b/>
          <w:kern w:val="2"/>
          <w:lang w:val="en-US" w:eastAsia="zh-CN"/>
        </w:rPr>
        <w:t xml:space="preserve">6G energy </w:t>
      </w:r>
      <w:r>
        <w:rPr>
          <w:rFonts w:hint="default"/>
          <w:b/>
          <w:kern w:val="2"/>
          <w:lang w:val="en-US" w:eastAsia="zh-CN"/>
        </w:rPr>
        <w:t>efficiency aspects</w:t>
      </w:r>
    </w:p>
    <w:p w14:paraId="5A7A4486">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Discussion</w:t>
      </w:r>
    </w:p>
    <w:p w14:paraId="1FA3AD89">
      <w:pPr>
        <w:pBdr>
          <w:bottom w:val="single" w:color="auto" w:sz="4" w:space="1"/>
        </w:pBdr>
        <w:spacing w:after="0"/>
        <w:jc w:val="left"/>
        <w:rPr>
          <w:b/>
          <w:kern w:val="2"/>
          <w:sz w:val="16"/>
          <w:szCs w:val="16"/>
          <w:lang w:eastAsia="zh-CN"/>
        </w:rPr>
      </w:pPr>
    </w:p>
    <w:p w14:paraId="654526FA">
      <w:pPr>
        <w:pStyle w:val="2"/>
      </w:pPr>
      <w:bookmarkStart w:id="0" w:name="_Ref129681862"/>
      <w:bookmarkStart w:id="1" w:name="_Ref124589705"/>
      <w:r>
        <w:rPr>
          <w:rFonts w:hint="eastAsia"/>
          <w:lang w:val="en-US" w:eastAsia="zh-CN"/>
        </w:rPr>
        <w:t xml:space="preserve"> </w:t>
      </w:r>
      <w:r>
        <w:t>Introduction</w:t>
      </w:r>
      <w:bookmarkEnd w:id="0"/>
      <w:bookmarkEnd w:id="1"/>
    </w:p>
    <w:p w14:paraId="42278B29">
      <w:pPr>
        <w:rPr>
          <w:rFonts w:hint="default"/>
          <w:lang w:val="en-US"/>
        </w:rPr>
      </w:pPr>
      <w:r>
        <w:rPr>
          <w:rFonts w:hint="default"/>
          <w:lang w:val="en-US"/>
        </w:rPr>
        <w:t>One new agenda has been agreed to consider 6G energy efficiency aspects. Here, we copy the introduction of agenda draft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6DE91AD">
        <w:tc>
          <w:tcPr>
            <w:tcW w:w="9307" w:type="dxa"/>
          </w:tcPr>
          <w:p w14:paraId="1AB0C18F">
            <w:pPr>
              <w:widowControl w:val="0"/>
              <w:rPr>
                <w:rFonts w:eastAsia="等线"/>
                <w:bCs/>
                <w:color w:val="000000"/>
                <w:lang w:eastAsia="zh-CN"/>
              </w:rPr>
            </w:pPr>
            <w:r>
              <w:rPr>
                <w:rFonts w:hint="eastAsia" w:eastAsia="等线"/>
                <w:i/>
                <w:iCs/>
                <w:lang w:eastAsia="zh-CN"/>
              </w:rPr>
              <w:t>Including discussion of proposal for NW power saving, UE power saving, and joint mechanisms taking both NW and UE into account for power saving</w:t>
            </w:r>
            <w:r>
              <w:rPr>
                <w:rFonts w:hint="eastAsia" w:eastAsia="等线"/>
                <w:i/>
                <w:iCs/>
                <w:highlight w:val="none"/>
                <w:lang w:eastAsia="zh-CN"/>
              </w:rPr>
              <w:t xml:space="preserve">, </w:t>
            </w:r>
            <w:r>
              <w:rPr>
                <w:rFonts w:eastAsia="等线"/>
                <w:i/>
                <w:iCs/>
                <w:highlight w:val="none"/>
                <w:lang w:eastAsia="zh-CN"/>
              </w:rPr>
              <w:t>targeting</w:t>
            </w:r>
            <w:r>
              <w:rPr>
                <w:rFonts w:hint="eastAsia" w:eastAsia="等线"/>
                <w:i/>
                <w:iCs/>
                <w:highlight w:val="none"/>
                <w:lang w:eastAsia="zh-CN"/>
              </w:rPr>
              <w:t xml:space="preserve"> to categorize proposals by RAN1#123. From RAN1#124, proposals will be distributed to respective related agenda.  </w:t>
            </w:r>
          </w:p>
        </w:tc>
      </w:tr>
    </w:tbl>
    <w:p w14:paraId="09083AD2">
      <w:pPr>
        <w:rPr>
          <w:rFonts w:hint="default"/>
          <w:lang w:val="en-US"/>
        </w:rPr>
      </w:pPr>
      <w:r>
        <w:rPr>
          <w:rFonts w:hint="default" w:eastAsia="等线"/>
          <w:i w:val="0"/>
          <w:iCs w:val="0"/>
          <w:lang w:val="en-US" w:eastAsia="zh-CN"/>
        </w:rPr>
        <w:t>The detailed objectives of 6G study are partly copied  as below</w:t>
      </w:r>
      <w:r>
        <w:rPr>
          <w:rFonts w:hint="default"/>
          <w:lang w:val="en-US"/>
        </w:rPr>
        <w:t>[1]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FE354AD">
        <w:tc>
          <w:tcPr>
            <w:tcW w:w="9307" w:type="dxa"/>
          </w:tcPr>
          <w:p w14:paraId="34235426">
            <w:pPr>
              <w:pStyle w:val="49"/>
              <w:widowControl w:val="0"/>
              <w:numPr>
                <w:ilvl w:val="0"/>
                <w:numId w:val="8"/>
              </w:numPr>
              <w:spacing w:after="120"/>
              <w:rPr>
                <w:rFonts w:hint="default" w:ascii="Times New Roman Italic" w:hAnsi="Times New Roman Italic" w:cs="Times New Roman Italic"/>
                <w:i/>
                <w:iCs/>
                <w:color w:val="000000" w:themeColor="text1"/>
                <w:sz w:val="22"/>
                <w:szCs w:val="22"/>
                <w14:textFill>
                  <w14:solidFill>
                    <w14:schemeClr w14:val="tx1"/>
                  </w14:solidFill>
                </w14:textFill>
              </w:rPr>
            </w:pPr>
            <w:r>
              <w:rPr>
                <w:rFonts w:hint="default" w:ascii="Times New Roman Italic" w:hAnsi="Times New Roman Italic" w:cs="Times New Roman Italic"/>
                <w:i/>
                <w:iCs/>
                <w:color w:val="000000" w:themeColor="text1"/>
                <w:sz w:val="22"/>
                <w:szCs w:val="22"/>
                <w14:textFill>
                  <w14:solidFill>
                    <w14:schemeClr w14:val="tx1"/>
                  </w14:solidFill>
                </w14:textFill>
              </w:rPr>
              <w:t>Single technology framework based on a stand-alone architecture</w:t>
            </w:r>
            <w:r>
              <w:rPr>
                <w:rFonts w:hint="default" w:ascii="Times New Roman Italic" w:hAnsi="Times New Roman Italic" w:cs="Times New Roman Italic"/>
                <w:i/>
                <w:iCs/>
                <w:color w:val="000000" w:themeColor="text1"/>
                <w:sz w:val="22"/>
                <w:szCs w:val="22"/>
                <w:lang w:eastAsia="ja-JP"/>
                <w14:textFill>
                  <w14:solidFill>
                    <w14:schemeClr w14:val="tx1"/>
                  </w14:solidFill>
                </w14:textFill>
              </w:rPr>
              <w:t xml:space="preserve"> (Note1)</w:t>
            </w:r>
            <w:r>
              <w:rPr>
                <w:rFonts w:hint="default" w:ascii="Times New Roman Italic" w:hAnsi="Times New Roman Italic" w:cs="Times New Roman Italic"/>
                <w:i/>
                <w:iCs/>
                <w:color w:val="000000" w:themeColor="text1"/>
                <w:sz w:val="22"/>
                <w:szCs w:val="22"/>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pPr>
              <w:pStyle w:val="49"/>
              <w:widowControl w:val="0"/>
              <w:numPr>
                <w:ilvl w:val="1"/>
                <w:numId w:val="9"/>
              </w:numPr>
              <w:spacing w:after="120"/>
              <w:rPr>
                <w:rFonts w:hint="default" w:ascii="Times New Roman Italic" w:hAnsi="Times New Roman Italic" w:cs="Times New Roman Italic"/>
                <w:i/>
                <w:iCs/>
                <w:color w:val="000000" w:themeColor="text1"/>
                <w:sz w:val="22"/>
                <w:szCs w:val="22"/>
                <w14:textFill>
                  <w14:solidFill>
                    <w14:schemeClr w14:val="tx1"/>
                  </w14:solidFill>
                </w14:textFill>
              </w:rPr>
            </w:pPr>
            <w:r>
              <w:rPr>
                <w:rFonts w:hint="default" w:ascii="Times New Roman Italic" w:hAnsi="Times New Roman Italic" w:cs="Times New Roman Italic"/>
                <w:i/>
                <w:iCs/>
                <w:color w:val="000000" w:themeColor="text1"/>
                <w:sz w:val="22"/>
                <w:szCs w:val="22"/>
                <w14:textFill>
                  <w14:solidFill>
                    <w14:schemeClr w14:val="tx1"/>
                  </w14:solidFill>
                </w14:textFill>
              </w:rPr>
              <w:t>Ensuring appropriate set of functionalities, minimize the adoption of multiple options for the same functionality, avoid excessive configurations, excessive UE capabilities and UE capabilities reporting.</w:t>
            </w:r>
          </w:p>
          <w:p w14:paraId="5F765EF1">
            <w:pPr>
              <w:pStyle w:val="49"/>
              <w:widowControl w:val="0"/>
              <w:numPr>
                <w:ilvl w:val="1"/>
                <w:numId w:val="9"/>
              </w:numPr>
              <w:spacing w:after="120"/>
              <w:rPr>
                <w:rFonts w:hint="default" w:ascii="Times New Roman Italic" w:hAnsi="Times New Roman Italic" w:cs="Times New Roman Italic"/>
                <w:i/>
                <w:iCs/>
                <w:color w:val="000000" w:themeColor="text1"/>
                <w:sz w:val="22"/>
                <w:szCs w:val="22"/>
                <w:highlight w:val="yellow"/>
                <w14:textFill>
                  <w14:solidFill>
                    <w14:schemeClr w14:val="tx1"/>
                  </w14:solidFill>
                </w14:textFill>
              </w:rPr>
            </w:pPr>
            <w:r>
              <w:rPr>
                <w:rFonts w:hint="default" w:ascii="Times New Roman Italic" w:hAnsi="Times New Roman Italic" w:cs="Times New Roman Italic"/>
                <w:i/>
                <w:iCs/>
                <w:color w:val="000000" w:themeColor="text1"/>
                <w:sz w:val="22"/>
                <w:szCs w:val="22"/>
                <w:highlight w:val="yellow"/>
                <w14:textFill>
                  <w14:solidFill>
                    <w14:schemeClr w14:val="tx1"/>
                  </w14:solidFill>
                </w14:textFill>
              </w:rPr>
              <w:t>Energy efficiency and energy saving: both for network and device.</w:t>
            </w:r>
          </w:p>
          <w:p w14:paraId="5B253DC2">
            <w:pPr>
              <w:pStyle w:val="49"/>
              <w:widowControl w:val="0"/>
              <w:numPr>
                <w:ilvl w:val="1"/>
                <w:numId w:val="9"/>
              </w:numPr>
              <w:spacing w:after="120"/>
              <w:rPr>
                <w:rFonts w:hint="default" w:ascii="Times New Roman Italic" w:hAnsi="Times New Roman Italic" w:cs="Times New Roman Italic"/>
                <w:i/>
                <w:iCs/>
                <w:color w:val="000000" w:themeColor="text1"/>
                <w:sz w:val="22"/>
                <w:szCs w:val="22"/>
                <w14:textFill>
                  <w14:solidFill>
                    <w14:schemeClr w14:val="tx1"/>
                  </w14:solidFill>
                </w14:textFill>
              </w:rPr>
            </w:pPr>
            <w:r>
              <w:rPr>
                <w:rFonts w:hint="default" w:ascii="Times New Roman Italic" w:hAnsi="Times New Roman Italic" w:cs="Times New Roman Italic"/>
                <w:i/>
                <w:iCs/>
                <w:color w:val="000000" w:themeColor="text1"/>
                <w:sz w:val="22"/>
                <w:szCs w:val="22"/>
                <w14:textFill>
                  <w14:solidFill>
                    <w14:schemeClr w14:val="tx1"/>
                  </w14:solidFill>
                </w14:textFill>
              </w:rPr>
              <w:t xml:space="preserve">Enhanced spectral efficiency. </w:t>
            </w:r>
          </w:p>
          <w:p w14:paraId="3EBF1F22">
            <w:pPr>
              <w:pStyle w:val="49"/>
              <w:widowControl w:val="0"/>
              <w:numPr>
                <w:ilvl w:val="1"/>
                <w:numId w:val="9"/>
              </w:numPr>
              <w:spacing w:after="120"/>
              <w:rPr>
                <w:rFonts w:hint="default" w:ascii="Times New Roman Italic" w:hAnsi="Times New Roman Italic" w:cs="Times New Roman Italic"/>
                <w:i/>
                <w:iCs/>
                <w:color w:val="000000" w:themeColor="text1"/>
                <w:sz w:val="22"/>
                <w:szCs w:val="22"/>
                <w14:textFill>
                  <w14:solidFill>
                    <w14:schemeClr w14:val="tx1"/>
                  </w14:solidFill>
                </w14:textFill>
              </w:rPr>
            </w:pPr>
            <w:r>
              <w:rPr>
                <w:rFonts w:hint="default" w:ascii="Times New Roman Italic" w:hAnsi="Times New Roman Italic" w:cs="Times New Roman Italic"/>
                <w:i/>
                <w:iCs/>
                <w:color w:val="000000" w:themeColor="text1"/>
                <w:sz w:val="22"/>
                <w:szCs w:val="22"/>
                <w14:textFill>
                  <w14:solidFill>
                    <w14:schemeClr w14:val="tx1"/>
                  </w14:solidFill>
                </w14:textFill>
              </w:rPr>
              <w:t>Enhanced overall coverage, focus on cell-edge performance and UL coverage.</w:t>
            </w:r>
          </w:p>
          <w:p w14:paraId="451A2528">
            <w:pPr>
              <w:pStyle w:val="49"/>
              <w:widowControl w:val="0"/>
              <w:numPr>
                <w:ilvl w:val="1"/>
                <w:numId w:val="9"/>
              </w:numPr>
              <w:spacing w:after="120"/>
              <w:rPr>
                <w:rFonts w:hint="default" w:ascii="Times New Roman Italic" w:hAnsi="Times New Roman Italic" w:cs="Times New Roman Italic"/>
                <w:i/>
                <w:iCs/>
                <w:color w:val="000000" w:themeColor="text1"/>
                <w:sz w:val="22"/>
                <w:szCs w:val="22"/>
                <w14:textFill>
                  <w14:solidFill>
                    <w14:schemeClr w14:val="tx1"/>
                  </w14:solidFill>
                </w14:textFill>
              </w:rPr>
            </w:pPr>
            <w:r>
              <w:rPr>
                <w:rFonts w:hint="default" w:ascii="Times New Roman Italic" w:hAnsi="Times New Roman Italic" w:cs="Times New Roman Italic"/>
                <w:i/>
                <w:iCs/>
                <w:color w:val="000000" w:themeColor="text1"/>
                <w:sz w:val="22"/>
                <w:szCs w:val="22"/>
                <w14:textFill>
                  <w14:solidFill>
                    <w14:schemeClr w14:val="tx1"/>
                  </w14:solidFill>
                </w14:textFill>
              </w:rPr>
              <w:t>Wider channel bandwidth (at least 200MHz) support for 6G deployments at least above 2 GHz, around 7 GHz.</w:t>
            </w:r>
          </w:p>
          <w:p w14:paraId="17104627">
            <w:pPr>
              <w:pStyle w:val="49"/>
              <w:widowControl w:val="0"/>
              <w:numPr>
                <w:ilvl w:val="1"/>
                <w:numId w:val="9"/>
              </w:numPr>
              <w:spacing w:after="120"/>
              <w:rPr>
                <w:rFonts w:hint="default" w:ascii="Times New Roman Italic" w:hAnsi="Times New Roman Italic" w:cs="Times New Roman Italic"/>
                <w:i/>
                <w:iCs/>
                <w:color w:val="000000" w:themeColor="text1"/>
                <w:sz w:val="22"/>
                <w:szCs w:val="22"/>
                <w14:textFill>
                  <w14:solidFill>
                    <w14:schemeClr w14:val="tx1"/>
                  </w14:solidFill>
                </w14:textFill>
              </w:rPr>
            </w:pPr>
            <w:r>
              <w:rPr>
                <w:rFonts w:hint="default" w:ascii="Times New Roman Italic" w:hAnsi="Times New Roman Italic" w:cs="Times New Roman Italic"/>
                <w:i/>
                <w:iCs/>
                <w:color w:val="000000" w:themeColor="text1"/>
                <w:sz w:val="22"/>
                <w:szCs w:val="22"/>
                <w14:textFill>
                  <w14:solidFill>
                    <w14:schemeClr w14:val="tx1"/>
                  </w14:solidFill>
                </w14:textFill>
              </w:rPr>
              <w:t>Re-use of existing 5G mid-band (~3.5GHz) site grid for 6G deployments in at least around 7 GHz and targeting comparable coverage to 5G mid-band.</w:t>
            </w:r>
          </w:p>
          <w:p w14:paraId="665FF8BE">
            <w:pPr>
              <w:pStyle w:val="49"/>
              <w:widowControl w:val="0"/>
              <w:numPr>
                <w:ilvl w:val="1"/>
                <w:numId w:val="9"/>
              </w:numPr>
              <w:spacing w:after="120"/>
              <w:rPr>
                <w:rFonts w:hint="default" w:ascii="Times New Roman Italic" w:hAnsi="Times New Roman Italic" w:cs="Times New Roman Italic"/>
                <w:i/>
                <w:iCs/>
                <w:color w:val="000000" w:themeColor="text1"/>
                <w:sz w:val="22"/>
                <w:szCs w:val="22"/>
                <w14:textFill>
                  <w14:solidFill>
                    <w14:schemeClr w14:val="tx1"/>
                  </w14:solidFill>
                </w14:textFill>
              </w:rPr>
            </w:pPr>
            <w:r>
              <w:rPr>
                <w:rFonts w:hint="default" w:ascii="Times New Roman Italic" w:hAnsi="Times New Roman Italic" w:cs="Times New Roman Italic"/>
                <w:i/>
                <w:iCs/>
                <w:color w:val="000000" w:themeColor="text1"/>
                <w:sz w:val="22"/>
                <w:szCs w:val="22"/>
                <w:highlight w:val="yellow"/>
                <w14:textFill>
                  <w14:solidFill>
                    <w14:schemeClr w14:val="tx1"/>
                  </w14:solidFill>
                </w14:textFill>
              </w:rPr>
              <w:t>Target scalable and forward compatible design for diverse device types.</w:t>
            </w:r>
          </w:p>
          <w:p w14:paraId="0AD6822B">
            <w:pPr>
              <w:pStyle w:val="49"/>
              <w:widowControl w:val="0"/>
              <w:numPr>
                <w:ilvl w:val="1"/>
                <w:numId w:val="9"/>
              </w:numPr>
              <w:spacing w:after="120"/>
              <w:rPr>
                <w:rFonts w:hint="default" w:ascii="Times New Roman Italic" w:hAnsi="Times New Roman Italic" w:cs="Times New Roman Italic"/>
                <w:i/>
                <w:iCs/>
                <w:color w:val="000000" w:themeColor="text1"/>
                <w:sz w:val="22"/>
                <w:szCs w:val="22"/>
                <w14:textFill>
                  <w14:solidFill>
                    <w14:schemeClr w14:val="tx1"/>
                  </w14:solidFill>
                </w14:textFill>
              </w:rPr>
            </w:pPr>
            <w:r>
              <w:rPr>
                <w:rFonts w:hint="default" w:ascii="Times New Roman Italic" w:hAnsi="Times New Roman Italic" w:cs="Times New Roman Italic"/>
                <w:i/>
                <w:iCs/>
                <w:color w:val="000000" w:themeColor="text1"/>
                <w:sz w:val="22"/>
                <w:szCs w:val="22"/>
                <w14:textFill>
                  <w14:solidFill>
                    <w14:schemeClr w14:val="tx1"/>
                  </w14:solidFill>
                </w14:textFill>
              </w:rPr>
              <w:t>Improved spectrum utilization and operations taking into account diverse spectrum allocations.</w:t>
            </w:r>
          </w:p>
          <w:p w14:paraId="624C69BC">
            <w:pPr>
              <w:pStyle w:val="49"/>
              <w:widowControl w:val="0"/>
              <w:numPr>
                <w:ilvl w:val="1"/>
                <w:numId w:val="9"/>
              </w:numPr>
              <w:spacing w:after="120"/>
              <w:rPr>
                <w:rFonts w:hint="default" w:ascii="Times New Roman Italic" w:hAnsi="Times New Roman Italic" w:cs="Times New Roman Italic"/>
                <w:i/>
                <w:iCs/>
                <w:color w:val="000000" w:themeColor="text1"/>
                <w:sz w:val="22"/>
                <w:szCs w:val="22"/>
                <w14:textFill>
                  <w14:solidFill>
                    <w14:schemeClr w14:val="tx1"/>
                  </w14:solidFill>
                </w14:textFill>
              </w:rPr>
            </w:pPr>
            <w:r>
              <w:rPr>
                <w:rFonts w:hint="default" w:ascii="Times New Roman Italic" w:hAnsi="Times New Roman Italic" w:cs="Times New Roman Italic"/>
                <w:i/>
                <w:iCs/>
                <w:color w:val="000000" w:themeColor="text1"/>
                <w:sz w:val="22"/>
                <w:szCs w:val="22"/>
                <w14:textFill>
                  <w14:solidFill>
                    <w14:schemeClr w14:val="tx1"/>
                  </w14:solidFill>
                </w14:textFill>
              </w:rPr>
              <w:t>Aim at using common 6G Radio design, which meets mobile broadband service requirements as high priority, to also meet vertical needs.</w:t>
            </w:r>
          </w:p>
          <w:p w14:paraId="6119571F">
            <w:pPr>
              <w:pStyle w:val="49"/>
              <w:widowControl w:val="0"/>
              <w:numPr>
                <w:ilvl w:val="1"/>
                <w:numId w:val="9"/>
              </w:numPr>
              <w:spacing w:after="120"/>
              <w:rPr>
                <w:rFonts w:hint="default" w:ascii="Times New Roman Italic" w:hAnsi="Times New Roman Italic" w:cs="Times New Roman Italic"/>
                <w:i/>
                <w:iCs/>
                <w:color w:val="000000" w:themeColor="text1"/>
                <w:sz w:val="22"/>
                <w:szCs w:val="22"/>
                <w14:textFill>
                  <w14:solidFill>
                    <w14:schemeClr w14:val="tx1"/>
                  </w14:solidFill>
                </w14:textFill>
              </w:rPr>
            </w:pPr>
            <w:r>
              <w:rPr>
                <w:rFonts w:hint="default" w:ascii="Times New Roman Italic" w:hAnsi="Times New Roman Italic" w:cs="Times New Roman Italic"/>
                <w:i/>
                <w:iCs/>
                <w:color w:val="000000" w:themeColor="text1"/>
                <w:sz w:val="22"/>
                <w:szCs w:val="22"/>
                <w14:textFill>
                  <w14:solidFill>
                    <w14:schemeClr w14:val="tx1"/>
                  </w14:solidFill>
                </w14:textFill>
              </w:rPr>
              <w:t>Aim at a harmonized 6G Radio design for TN and NTN, including their integration.</w:t>
            </w:r>
          </w:p>
          <w:p w14:paraId="4823066E">
            <w:pPr>
              <w:pStyle w:val="49"/>
              <w:widowControl w:val="0"/>
              <w:numPr>
                <w:ilvl w:val="1"/>
                <w:numId w:val="9"/>
              </w:numPr>
              <w:spacing w:after="120"/>
              <w:rPr>
                <w:rFonts w:hint="default" w:ascii="Times New Roman Italic" w:hAnsi="Times New Roman Italic" w:cs="Times New Roman Italic"/>
                <w:i/>
                <w:iCs/>
                <w:color w:val="000000" w:themeColor="text1"/>
                <w:sz w:val="22"/>
                <w:szCs w:val="22"/>
                <w:highlight w:val="yellow"/>
                <w14:textFill>
                  <w14:solidFill>
                    <w14:schemeClr w14:val="tx1"/>
                  </w14:solidFill>
                </w14:textFill>
              </w:rPr>
            </w:pPr>
            <w:r>
              <w:rPr>
                <w:rFonts w:hint="default" w:ascii="Times New Roman Italic" w:hAnsi="Times New Roman Italic" w:cs="Times New Roman Italic"/>
                <w:i/>
                <w:iCs/>
                <w:color w:val="000000" w:themeColor="text1"/>
                <w:sz w:val="22"/>
                <w:szCs w:val="22"/>
                <w:highlight w:val="yellow"/>
                <w14:textFill>
                  <w14:solidFill>
                    <w14:schemeClr w14:val="tx1"/>
                  </w14:solidFill>
                </w14:textFill>
              </w:rPr>
              <w:t>System simplification, including reducing configuration complexity, enabling more efficient Cell/UE management, etc.</w:t>
            </w:r>
          </w:p>
          <w:p w14:paraId="5A784FF0">
            <w:pPr>
              <w:widowControl w:val="0"/>
              <w:spacing w:after="120"/>
              <w:ind w:left="469" w:leftChars="213"/>
              <w:rPr>
                <w:rFonts w:hint="default" w:ascii="Times New Roman Regular" w:hAnsi="Times New Roman Regular" w:cs="Times New Roman Regular"/>
                <w:color w:val="000000" w:themeColor="text1"/>
                <w:lang w:eastAsia="zh-CN"/>
                <w14:textFill>
                  <w14:solidFill>
                    <w14:schemeClr w14:val="tx1"/>
                  </w14:solidFill>
                </w14:textFill>
              </w:rPr>
            </w:pPr>
            <w:r>
              <w:rPr>
                <w:rFonts w:hint="default" w:ascii="Times New Roman Italic" w:hAnsi="Times New Roman Italic" w:cs="Times New Roman Italic"/>
                <w:i/>
                <w:iCs/>
                <w:color w:val="000000" w:themeColor="text1"/>
                <w:sz w:val="22"/>
                <w:szCs w:val="22"/>
                <w:lang w:eastAsia="ja-JP"/>
                <w14:textFill>
                  <w14:solidFill>
                    <w14:schemeClr w14:val="tx1"/>
                  </w14:solidFill>
                </w14:textFill>
              </w:rPr>
              <w:t>Note1: the term stand-alone architecture does not imply any particular Core network architecture, which is up to SA2 discussion.</w:t>
            </w:r>
          </w:p>
        </w:tc>
      </w:tr>
    </w:tbl>
    <w:p w14:paraId="5138C445">
      <w:pPr>
        <w:rPr>
          <w:rFonts w:hint="default" w:eastAsia="等线"/>
          <w:i w:val="0"/>
          <w:iCs w:val="0"/>
          <w:lang w:val="en-US" w:eastAsia="zh-CN"/>
        </w:rPr>
      </w:pPr>
      <w:r>
        <w:rPr>
          <w:rFonts w:hint="eastAsia" w:eastAsia="等线"/>
          <w:i w:val="0"/>
          <w:iCs w:val="0"/>
          <w:lang w:eastAsia="zh-CN"/>
        </w:rPr>
        <w:t>In the 5G era, energy-saving features were introduced piecemeal, but 6G offers a unique opportunity to embed sustainability from the outset[2]. The motivation of this proposal is to outline physical-layer solutions in 6G that dramatically improve energy efficiency for both network and terminal while maintaining performance. In particular, we focus on techniques for network energy saving (reducing base station power consumption), terminal energy saving (extending UE battery life), and collaborative energy saving (coordinated strategies between network and devices or across network nodes). These approaches align with global climate initiatives and the IMT-2030 vision, which calls for minimizing power consumption and environmental impact of 6G networks[3].</w:t>
      </w:r>
      <w:r>
        <w:rPr>
          <w:rFonts w:hint="default" w:eastAsia="等线"/>
          <w:i w:val="0"/>
          <w:iCs w:val="0"/>
          <w:lang w:val="en-US" w:eastAsia="zh-CN"/>
        </w:rPr>
        <w:t xml:space="preserve"> </w:t>
      </w:r>
    </w:p>
    <w:p w14:paraId="6D989E63">
      <w:pPr>
        <w:rPr>
          <w:rFonts w:hint="eastAsia" w:eastAsia="等线"/>
          <w:i w:val="0"/>
          <w:iCs w:val="0"/>
          <w:lang w:eastAsia="zh-CN"/>
        </w:rPr>
      </w:pPr>
      <w:r>
        <w:rPr>
          <w:rFonts w:hint="eastAsia" w:eastAsia="等线"/>
          <w:i w:val="0"/>
          <w:iCs w:val="0"/>
          <w:lang w:eastAsia="zh-CN"/>
        </w:rPr>
        <w:t>3GPP has been addressing energy efficiency in various forms since Release 10, including study recommendations and new features in the specifications[4][5]. Past generations (LTE, 5G NR) have made notable strides (e.g. discontinuous reception, low-power modes), but many components of today’s networks remain “always on,” limiting potential energy savings[6][7]. This proposal builds on lessons from LTE and 5G, highlighting existing mechanisms and their limitations, and identifies key technical issues that 6G must solve. We propose a set of physical layer enhancements and coordinated protocols to enable “Less ON, More OFF</w:t>
      </w:r>
      <w:r>
        <w:rPr>
          <w:rFonts w:hint="default" w:eastAsia="等线"/>
          <w:i w:val="0"/>
          <w:iCs w:val="0"/>
          <w:lang w:val="en-US" w:eastAsia="zh-CN"/>
        </w:rPr>
        <w:t xml:space="preserve">" </w:t>
      </w:r>
      <w:r>
        <w:rPr>
          <w:rFonts w:hint="eastAsia" w:eastAsia="等线"/>
          <w:i w:val="0"/>
          <w:iCs w:val="0"/>
          <w:lang w:eastAsia="zh-CN"/>
        </w:rPr>
        <w:t>operation</w:t>
      </w:r>
      <w:r>
        <w:rPr>
          <w:rFonts w:hint="default" w:eastAsia="等线"/>
          <w:i w:val="0"/>
          <w:iCs w:val="0"/>
          <w:lang w:val="en-US" w:eastAsia="zh-CN"/>
        </w:rPr>
        <w:t>-</w:t>
      </w:r>
      <w:r>
        <w:rPr>
          <w:rFonts w:hint="eastAsia" w:eastAsia="等线"/>
          <w:i w:val="0"/>
          <w:iCs w:val="0"/>
          <w:lang w:eastAsia="zh-CN"/>
        </w:rPr>
        <w:t>meaning systematically reduced transmission</w:t>
      </w:r>
      <w:r>
        <w:rPr>
          <w:rFonts w:hint="default" w:eastAsia="等线"/>
          <w:i w:val="0"/>
          <w:iCs w:val="0"/>
          <w:lang w:val="en-US" w:eastAsia="zh-CN"/>
        </w:rPr>
        <w:t xml:space="preserve"> or </w:t>
      </w:r>
      <w:r>
        <w:rPr>
          <w:rFonts w:hint="eastAsia" w:eastAsia="等线"/>
          <w:i w:val="0"/>
          <w:iCs w:val="0"/>
          <w:lang w:eastAsia="zh-CN"/>
        </w:rPr>
        <w:t xml:space="preserve">reception activity through context-aware, on-demand signaling in 6G networks[8][9]. By doing so, 6G can achieve substantial energy reductions (targeting &gt;30% network power reduction vs. 5G[10]) without compromising service quality. </w:t>
      </w:r>
    </w:p>
    <w:p w14:paraId="61F27C1B">
      <w:pPr>
        <w:rPr>
          <w:rFonts w:hint="default" w:eastAsia="等线"/>
          <w:i w:val="0"/>
          <w:iCs w:val="0"/>
          <w:lang w:val="en-US" w:eastAsia="zh-CN"/>
        </w:rPr>
      </w:pPr>
      <w:r>
        <w:rPr>
          <w:rFonts w:hint="default" w:eastAsia="等线"/>
          <w:i w:val="0"/>
          <w:iCs w:val="0"/>
          <w:lang w:val="en-US" w:eastAsia="zh-CN"/>
        </w:rPr>
        <w:t>Based on IMT-2030 vision and analysis above, from our perspective, we give our opinion of 6G sustainability</w:t>
      </w:r>
      <w:r>
        <w:rPr>
          <w:rFonts w:hint="eastAsia" w:eastAsia="等线"/>
          <w:i w:val="0"/>
          <w:iCs w:val="0"/>
          <w:lang w:val="en-US" w:eastAsia="zh-CN"/>
        </w:rPr>
        <w:t xml:space="preserve"> as</w:t>
      </w:r>
      <w:r>
        <w:rPr>
          <w:rFonts w:hint="default" w:eastAsia="等线"/>
          <w:i w:val="0"/>
          <w:iCs w:val="0"/>
          <w:lang w:val="en-US" w:eastAsia="zh-CN"/>
        </w:rPr>
        <w:t xml:space="preserve"> shown in figure 1, which includes at least LPWA air interface design and green network. </w:t>
      </w:r>
    </w:p>
    <w:p w14:paraId="71B5908F">
      <w:pPr>
        <w:jc w:val="center"/>
      </w:pPr>
      <w:r>
        <w:drawing>
          <wp:inline distT="0" distB="0" distL="114300" distR="114300">
            <wp:extent cx="2513330" cy="2005330"/>
            <wp:effectExtent l="0" t="0" r="0" b="127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2513330" cy="2005330"/>
                    </a:xfrm>
                    <a:prstGeom prst="rect">
                      <a:avLst/>
                    </a:prstGeom>
                  </pic:spPr>
                </pic:pic>
              </a:graphicData>
            </a:graphic>
          </wp:inline>
        </w:drawing>
      </w:r>
    </w:p>
    <w:p w14:paraId="7025E157">
      <w:pPr>
        <w:jc w:val="center"/>
        <w:rPr>
          <w:rFonts w:hint="default"/>
          <w:lang w:val="en-US" w:eastAsia="zh-CN"/>
        </w:rPr>
      </w:pPr>
      <w:r>
        <w:rPr>
          <w:rFonts w:hint="default"/>
          <w:lang w:val="en-US"/>
        </w:rPr>
        <w:t>Fig.1 6G sustainability views</w:t>
      </w:r>
    </w:p>
    <w:p w14:paraId="7FD47627">
      <w:pPr>
        <w:rPr>
          <w:rFonts w:hint="default" w:eastAsia="等线"/>
          <w:i w:val="0"/>
          <w:iCs w:val="0"/>
          <w:lang w:val="en-US" w:eastAsia="zh-CN"/>
        </w:rPr>
      </w:pPr>
      <w:r>
        <w:rPr>
          <w:rFonts w:hint="eastAsia" w:eastAsia="等线"/>
          <w:i w:val="0"/>
          <w:iCs w:val="0"/>
          <w:lang w:eastAsia="zh-CN"/>
        </w:rPr>
        <w:t>The following sections provide</w:t>
      </w:r>
      <w:r>
        <w:rPr>
          <w:rFonts w:hint="default" w:eastAsia="等线"/>
          <w:i w:val="0"/>
          <w:iCs w:val="0"/>
          <w:lang w:val="en-US" w:eastAsia="zh-CN"/>
        </w:rPr>
        <w:t>:</w:t>
      </w:r>
    </w:p>
    <w:p w14:paraId="56FFDCF7">
      <w:pPr>
        <w:numPr>
          <w:ilvl w:val="0"/>
          <w:numId w:val="10"/>
        </w:numPr>
        <w:rPr>
          <w:rFonts w:hint="default" w:eastAsia="等线"/>
          <w:i w:val="0"/>
          <w:iCs w:val="0"/>
          <w:lang w:val="en-US" w:eastAsia="zh-CN"/>
        </w:rPr>
      </w:pPr>
      <w:r>
        <w:rPr>
          <w:rFonts w:hint="eastAsia" w:eastAsia="等线"/>
          <w:i w:val="0"/>
          <w:iCs w:val="0"/>
          <w:lang w:eastAsia="zh-CN"/>
        </w:rPr>
        <w:t>background on energy-saving techniques from LTE through 5G</w:t>
      </w:r>
      <w:r>
        <w:rPr>
          <w:rFonts w:hint="default" w:eastAsia="等线"/>
          <w:i w:val="0"/>
          <w:iCs w:val="0"/>
          <w:lang w:val="en-US" w:eastAsia="zh-CN"/>
        </w:rPr>
        <w:t xml:space="preserve"> </w:t>
      </w:r>
      <w:r>
        <w:rPr>
          <w:rFonts w:hint="eastAsia" w:eastAsia="等线"/>
          <w:i w:val="0"/>
          <w:iCs w:val="0"/>
          <w:lang w:eastAsia="zh-CN"/>
        </w:rPr>
        <w:t>(2)</w:t>
      </w:r>
      <w:r>
        <w:rPr>
          <w:rFonts w:hint="default" w:eastAsia="等线"/>
          <w:i w:val="0"/>
          <w:iCs w:val="0"/>
          <w:lang w:val="en-US" w:eastAsia="zh-CN"/>
        </w:rPr>
        <w:t xml:space="preserve"> One key factor of 6G energy efficiency: terminal types or terminal mode considerations. In this section, we will discuss eMBB UE or LPWA UE to consider energy savings, and</w:t>
      </w:r>
      <w:r>
        <w:rPr>
          <w:rFonts w:hint="eastAsia" w:eastAsia="等线"/>
          <w:i w:val="0"/>
          <w:iCs w:val="0"/>
          <w:lang w:eastAsia="zh-CN"/>
        </w:rPr>
        <w:t xml:space="preserve"> </w:t>
      </w:r>
      <w:r>
        <w:rPr>
          <w:rFonts w:hint="default" w:eastAsia="等线"/>
          <w:i w:val="0"/>
          <w:iCs w:val="0"/>
          <w:lang w:val="en-US" w:eastAsia="zh-CN"/>
        </w:rPr>
        <w:t>(3)I</w:t>
      </w:r>
      <w:r>
        <w:rPr>
          <w:rFonts w:hint="eastAsia" w:eastAsia="等线"/>
          <w:i w:val="0"/>
          <w:iCs w:val="0"/>
          <w:lang w:eastAsia="zh-CN"/>
        </w:rPr>
        <w:t>dentified technical challenges and potential solutions for 6G in network, device, and collaborative domains.</w:t>
      </w:r>
      <w:r>
        <w:rPr>
          <w:rFonts w:hint="default" w:eastAsia="等线"/>
          <w:i w:val="0"/>
          <w:iCs w:val="0"/>
          <w:lang w:val="en-US" w:eastAsia="zh-CN"/>
        </w:rPr>
        <w:t xml:space="preserve"> </w:t>
      </w:r>
    </w:p>
    <w:p w14:paraId="42313B0B">
      <w:pPr>
        <w:pBdr>
          <w:bottom w:val="single" w:color="auto" w:sz="4" w:space="1"/>
        </w:pBdr>
        <w:spacing w:after="0"/>
        <w:jc w:val="left"/>
        <w:rPr>
          <w:b/>
          <w:kern w:val="2"/>
          <w:sz w:val="16"/>
          <w:szCs w:val="16"/>
          <w:lang w:eastAsia="zh-CN"/>
        </w:rPr>
      </w:pPr>
    </w:p>
    <w:p w14:paraId="5E1E5E8A">
      <w:pPr>
        <w:pStyle w:val="2"/>
      </w:pPr>
      <w:r>
        <w:rPr>
          <w:rFonts w:hint="eastAsia"/>
          <w:lang w:val="en-US" w:eastAsia="zh-CN"/>
        </w:rPr>
        <w:t xml:space="preserve"> </w:t>
      </w:r>
      <w:r>
        <w:rPr>
          <w:rFonts w:hint="default"/>
          <w:lang w:val="en-US" w:eastAsia="zh-CN"/>
        </w:rPr>
        <w:t>Background: energy savings from LTE to 5G NR</w:t>
      </w:r>
    </w:p>
    <w:p w14:paraId="10ECC718">
      <w:pPr>
        <w:keepNext w:val="0"/>
        <w:keepLines w:val="0"/>
        <w:widowControl/>
        <w:suppressLineNumbers w:val="0"/>
        <w:jc w:val="both"/>
        <w:rPr>
          <w:rFonts w:hint="eastAsia"/>
          <w:lang w:eastAsia="zh-CN"/>
        </w:rPr>
      </w:pPr>
      <w:r>
        <w:rPr>
          <w:rFonts w:hint="eastAsia"/>
          <w:lang w:eastAsia="zh-CN"/>
        </w:rPr>
        <w:t>From the launch of LTE in Release 8 to the ongoing 5G-Advanced work in Release 1</w:t>
      </w:r>
      <w:r>
        <w:rPr>
          <w:rFonts w:hint="eastAsia"/>
          <w:lang w:val="en-US" w:eastAsia="zh-CN"/>
        </w:rPr>
        <w:t>9</w:t>
      </w:r>
      <w:r>
        <w:rPr>
          <w:rFonts w:hint="eastAsia"/>
          <w:lang w:eastAsia="zh-CN"/>
        </w:rPr>
        <w:t>, 3GPP has continuously enhanced</w:t>
      </w:r>
      <w:r>
        <w:rPr>
          <w:rFonts w:hint="eastAsia"/>
          <w:lang w:val="en-US" w:eastAsia="zh-CN"/>
        </w:rPr>
        <w:t xml:space="preserve"> </w:t>
      </w:r>
      <w:r>
        <w:rPr>
          <w:rFonts w:hint="eastAsia"/>
          <w:lang w:eastAsia="zh-CN"/>
        </w:rPr>
        <w:t>RAN</w:t>
      </w:r>
      <w:r>
        <w:rPr>
          <w:rFonts w:hint="eastAsia"/>
          <w:lang w:val="en-US" w:eastAsia="zh-CN"/>
        </w:rPr>
        <w:t xml:space="preserve"> </w:t>
      </w:r>
      <w:r>
        <w:rPr>
          <w:rFonts w:hint="eastAsia"/>
          <w:lang w:eastAsia="zh-CN"/>
        </w:rPr>
        <w:t xml:space="preserve">energy efficiency. Each release has introduced new mechanisms targeting both the UE and the network side, ranging from early DRX and cell DTX functions in LTE to advanced on-demand signal transmission in 5G NR. The figure below presents a chronological view of key energy-saving technologies, providing a clear evolution path from LTE to NR. This visual roadmap serves as the foundation for the detailed technical discussion in Sections </w:t>
      </w:r>
      <w:r>
        <w:rPr>
          <w:rFonts w:hint="eastAsia"/>
          <w:lang w:val="en-US" w:eastAsia="zh-CN"/>
        </w:rPr>
        <w:t>2</w:t>
      </w:r>
      <w:r>
        <w:rPr>
          <w:rFonts w:hint="eastAsia"/>
          <w:lang w:eastAsia="zh-CN"/>
        </w:rPr>
        <w:t xml:space="preserve">.1 and </w:t>
      </w:r>
      <w:r>
        <w:rPr>
          <w:rFonts w:hint="eastAsia"/>
          <w:lang w:val="en-US" w:eastAsia="zh-CN"/>
        </w:rPr>
        <w:t>2</w:t>
      </w:r>
      <w:r>
        <w:rPr>
          <w:rFonts w:hint="eastAsia"/>
          <w:lang w:eastAsia="zh-CN"/>
        </w:rPr>
        <w:t>.2.</w:t>
      </w:r>
    </w:p>
    <w:p w14:paraId="5E9EC9B6">
      <w:pPr>
        <w:keepNext w:val="0"/>
        <w:keepLines w:val="0"/>
        <w:widowControl/>
        <w:suppressLineNumbers w:val="0"/>
        <w:jc w:val="both"/>
        <w:rPr>
          <w:rFonts w:hint="eastAsia"/>
          <w:lang w:eastAsia="zh-CN"/>
        </w:rPr>
      </w:pPr>
      <w:r>
        <w:drawing>
          <wp:inline distT="0" distB="0" distL="114300" distR="114300">
            <wp:extent cx="5909945" cy="706755"/>
            <wp:effectExtent l="0" t="0" r="8255" b="444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7"/>
                    <a:srcRect t="20809" b="40397"/>
                    <a:stretch>
                      <a:fillRect/>
                    </a:stretch>
                  </pic:blipFill>
                  <pic:spPr>
                    <a:xfrm>
                      <a:off x="0" y="0"/>
                      <a:ext cx="5909945" cy="706755"/>
                    </a:xfrm>
                    <a:prstGeom prst="rect">
                      <a:avLst/>
                    </a:prstGeom>
                    <a:noFill/>
                    <a:ln>
                      <a:noFill/>
                    </a:ln>
                  </pic:spPr>
                </pic:pic>
              </a:graphicData>
            </a:graphic>
          </wp:inline>
        </w:drawing>
      </w:r>
    </w:p>
    <w:p w14:paraId="5AB9889D">
      <w:pPr>
        <w:pStyle w:val="3"/>
      </w:pPr>
      <w:r>
        <w:rPr>
          <w:rFonts w:hint="default"/>
          <w:lang w:val="en-US"/>
        </w:rPr>
        <w:t xml:space="preserve"> LTE/LTE-advanced energy saving features</w:t>
      </w:r>
    </w:p>
    <w:p w14:paraId="52A40222">
      <w:pPr>
        <w:rPr>
          <w:rFonts w:hint="eastAsia"/>
        </w:rPr>
      </w:pPr>
      <w:r>
        <w:rPr>
          <w:rFonts w:hint="default" w:ascii="Times New Roman Bold" w:hAnsi="Times New Roman Bold" w:cs="Times New Roman Bold"/>
          <w:b/>
          <w:bCs/>
        </w:rPr>
        <w:t>Discontinuous Reception (DRX) in LTE</w:t>
      </w:r>
      <w:r>
        <w:rPr>
          <w:rFonts w:hint="eastAsia"/>
        </w:rPr>
        <w:t>: One of the fundamental 4G features for UE power saving is DRX. Introduced in 3GPP Release 8, Connected-mode DRX (C-DRX) allows a UE in RRC_CONNECTED to periodically power down its receiver when no data is scheduled, waking up at specified intervals to check for incoming traffic. Likewise, Idle-mode DRX (I-DRX) defines a paging cycle so that idle UEs only wake at paging occasions. These mechanisms let devices avoid continuous listening, significantly extending battery life. The LTE specifications explicitly supported DRX to enable UE power savings[11]. DRX cycle lengths are configurable, balancing latency versus energy use. For example, a handset may use a short DRX cycle (e.g. 40 ms) during active data bursts and a long cycle (e.g. 320 ms) during light traffic to conserve energy. Operators in practice configured DRX extensively to improve smartphone battery performance.</w:t>
      </w:r>
    </w:p>
    <w:p w14:paraId="7DAD82AF">
      <w:pPr>
        <w:rPr>
          <w:rFonts w:hint="eastAsia"/>
        </w:rPr>
      </w:pPr>
      <w:r>
        <w:rPr>
          <w:rFonts w:hint="default" w:ascii="Times New Roman Bold" w:hAnsi="Times New Roman Bold" w:cs="Times New Roman Bold"/>
          <w:b/>
          <w:bCs/>
        </w:rPr>
        <w:t>Base Station Energy Reduction</w:t>
      </w:r>
      <w:r>
        <w:rPr>
          <w:rFonts w:hint="eastAsia"/>
        </w:rPr>
        <w:t xml:space="preserve">: While not mandated in early LTE, 3GPP studies in Release 10 (TR 36.927) provided guidance on cutting eNodeB power consumption[12]. Key recommendations included: </w:t>
      </w:r>
    </w:p>
    <w:p w14:paraId="000EC192">
      <w:pPr>
        <w:numPr>
          <w:ilvl w:val="0"/>
          <w:numId w:val="11"/>
        </w:numPr>
        <w:ind w:left="420" w:leftChars="0" w:hanging="420" w:firstLineChars="0"/>
        <w:rPr>
          <w:rFonts w:hint="eastAsia"/>
        </w:rPr>
      </w:pPr>
      <w:r>
        <w:rPr>
          <w:rFonts w:hint="default" w:ascii="Times New Roman Bold" w:hAnsi="Times New Roman Bold" w:cs="Times New Roman Bold"/>
          <w:b/>
          <w:bCs/>
        </w:rPr>
        <w:t>Cell DTX</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(Not specification in LTE)</w:t>
      </w:r>
      <w:r>
        <w:rPr>
          <w:rFonts w:hint="default"/>
          <w:lang w:val="en-US"/>
        </w:rPr>
        <w:t>:</w:t>
      </w:r>
      <w:r>
        <w:rPr>
          <w:rFonts w:hint="eastAsia"/>
        </w:rPr>
        <w:t xml:space="preserve"> periodically turning off downlink transmissions when traffic is absent, allowing the PA to shut off and save energy. During DTX off-periods, no common channels or reference signals are sent, so the PA can enter a low-power state. The longer the off-period relative to active time, the greater the energy savings. </w:t>
      </w:r>
    </w:p>
    <w:p w14:paraId="26B13930">
      <w:pPr>
        <w:numPr>
          <w:ilvl w:val="0"/>
          <w:numId w:val="11"/>
        </w:numPr>
        <w:ind w:left="420" w:leftChars="0" w:hanging="420" w:firstLineChars="0"/>
        <w:rPr>
          <w:rFonts w:hint="eastAsia"/>
        </w:rPr>
      </w:pPr>
      <w:r>
        <w:rPr>
          <w:rFonts w:hint="default" w:ascii="Times New Roman Bold" w:hAnsi="Times New Roman Bold" w:cs="Times New Roman Bold"/>
          <w:b/>
          <w:bCs/>
        </w:rPr>
        <w:t>Dormant Cells/Carriers</w:t>
      </w:r>
      <w:r>
        <w:rPr>
          <w:rFonts w:hint="default"/>
          <w:lang w:val="en-US"/>
        </w:rPr>
        <w:t xml:space="preserve">: </w:t>
      </w:r>
      <w:r>
        <w:rPr>
          <w:rFonts w:hint="eastAsia"/>
        </w:rPr>
        <w:t>completely switching off secondary carriers or small cells during off-peak hours (sometimes called cell sleep mode). For LTE, this was envisioned in heterogeneous networks where macro cells provide coverage and micro/pico cells could be turned off or put to sleep when traffic is low. Neighbouring cells would temporarily increase transmit power or expand coverage (acting as “compensation cells”) to cover the area of a sleeping cel</w:t>
      </w:r>
      <w:r>
        <w:rPr>
          <w:rFonts w:hint="default"/>
          <w:lang w:val="en-US"/>
        </w:rPr>
        <w:t>l</w:t>
      </w:r>
      <w:r>
        <w:rPr>
          <w:rFonts w:hint="eastAsia"/>
        </w:rPr>
        <w:t>. This approach saves energy at the cost of a slight increase in load or power on the remaining active cells, and was generally controlled via OAM or coordination signaling between base stations</w:t>
      </w:r>
      <w:r>
        <w:rPr>
          <w:rFonts w:hint="default"/>
          <w:lang w:val="en-US"/>
        </w:rPr>
        <w:t>[2]</w:t>
      </w:r>
      <w:r>
        <w:rPr>
          <w:rFonts w:hint="eastAsia"/>
        </w:rPr>
        <w:t>.</w:t>
      </w:r>
    </w:p>
    <w:p w14:paraId="429158B4">
      <w:pPr>
        <w:numPr>
          <w:ilvl w:val="0"/>
          <w:numId w:val="11"/>
        </w:numPr>
        <w:ind w:left="420" w:leftChars="0" w:hanging="420" w:firstLineChars="0"/>
        <w:rPr>
          <w:rFonts w:hint="eastAsia"/>
        </w:rPr>
      </w:pPr>
      <w:r>
        <w:rPr>
          <w:rFonts w:hint="default" w:ascii="Times New Roman Bold" w:hAnsi="Times New Roman Bold" w:cs="Times New Roman Bold"/>
          <w:b/>
          <w:bCs/>
        </w:rPr>
        <w:t>Antenna Shutdown</w:t>
      </w:r>
      <w:r>
        <w:rPr>
          <w:rFonts w:hint="default"/>
          <w:lang w:val="en-US"/>
        </w:rPr>
        <w:t xml:space="preserve">: </w:t>
      </w:r>
      <w:r>
        <w:rPr>
          <w:rFonts w:hint="eastAsia"/>
        </w:rPr>
        <w:t>turning off unused MIMO antenna branches (secondary antennas) during low traffic, and reducing common channel power to only what is needed for active users. LTE’s enhanced MIMO systems allowed flexible deactivation of transmit chains to save power when full diversity or multiplexing was not needed. These techniques were initially recommendations in study reports (e.g. TR 25.927 and TR 36.927) and were not standardized as an explicit feature in Release 10, but vendors began implementing proprietary energy-saving modes in base stations following these guidelines. Release 12 continued the effort (TR36.887), studying energy saving enhancements for E-UTRAN, which identified intra-LTE cell switch-off scenarios and solutions for better coordination</w:t>
      </w:r>
      <w:r>
        <w:rPr>
          <w:rFonts w:hint="default"/>
          <w:lang w:val="en-US"/>
        </w:rPr>
        <w:t>[3]</w:t>
      </w:r>
      <w:r>
        <w:rPr>
          <w:rFonts w:hint="eastAsia"/>
        </w:rPr>
        <w:t>.</w:t>
      </w:r>
    </w:p>
    <w:p w14:paraId="4F5D025F">
      <w:pPr>
        <w:rPr>
          <w:rFonts w:hint="eastAsia"/>
          <w:lang w:val="en-US" w:eastAsia="zh-CN"/>
        </w:rPr>
      </w:pPr>
      <w:r>
        <w:rPr>
          <w:rFonts w:hint="default" w:ascii="Times New Roman Bold" w:hAnsi="Times New Roman Bold" w:cs="Times New Roman Bold"/>
          <w:b/>
          <w:bCs/>
        </w:rPr>
        <w:t>Extended Discontinuous Reception</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rPr>
        <w:t>for IoT</w:t>
      </w:r>
      <w:r>
        <w:rPr>
          <w:rFonts w:hint="eastAsia"/>
        </w:rPr>
        <w:t>: LTE-Advanced Pro (Release 13) introduced new low-power modes for Machine-Type Communication. Notably, NB-IoT and LTE Cat-M1 defined features to enable battery life of 10+ years for IoT devices. Two key techniques are extended DRX (eDRX) and PSM. PSM (first introduced in Rel-12) allows a device to enter a deep sleep state after informing the network, during which it does not monitor paging at all for a long duration (which could be hours or days). eDRX (Rel-13) extends the paging DRX cycle to extremely long intervals (e.g. minutes) for idle IoT devices[</w:t>
      </w:r>
      <w:r>
        <w:rPr>
          <w:rFonts w:hint="default"/>
          <w:lang w:val="en-US"/>
        </w:rPr>
        <w:t>10</w:t>
      </w:r>
      <w:r>
        <w:rPr>
          <w:rFonts w:hint="eastAsia"/>
        </w:rPr>
        <w:t>]. Using eDRX, a sensor node can wake perhaps once every few minutes or even less frequently to check for downlink messages, drastically reducing the duty cycle of its radio. The network buffers any downlink data until the device’s next wake-up. These features sacrifice real-time responsiveness in favor of power saving, suitable for infrequent or delay-tolerant IoT communication. With eDRX and PSM, NB-IoT devices have demonstrated battery endurance on the order of years, a cornerstone for massive IoT deployments. For example, NB-IoT Release 13 specified an eDRX cycle up to ~3 hours and PSM idle periods of days, which was further improved in later releases (Release 18 expanded maximum eDRX cycles even more for industrial sensors)[</w:t>
      </w:r>
      <w:r>
        <w:rPr>
          <w:rFonts w:hint="default"/>
          <w:lang w:val="en-US"/>
        </w:rPr>
        <w:t>10</w:t>
      </w:r>
      <w:r>
        <w:rPr>
          <w:rFonts w:hint="eastAsia"/>
        </w:rPr>
        <w:t>]. On the network side, NB-IoT also uses narrowband signals and lean transmissions (with reduced always-on channels), which inherently lowers base station energy per device served.</w:t>
      </w:r>
      <w:r>
        <w:rPr>
          <w:rFonts w:hint="eastAsia"/>
          <w:lang w:val="en-US" w:eastAsia="zh-CN"/>
        </w:rPr>
        <w:t xml:space="preserve"> </w:t>
      </w:r>
    </w:p>
    <w:p w14:paraId="5B826E24">
      <w:pPr>
        <w:rPr>
          <w:rFonts w:hint="default"/>
          <w:lang w:val="en-US" w:eastAsia="zh-CN"/>
        </w:rPr>
      </w:pPr>
      <w:r>
        <w:rPr>
          <w:rFonts w:hint="default" w:ascii="Times New Roman Bold" w:hAnsi="Times New Roman Bold" w:cs="Times New Roman Bold"/>
          <w:b/>
          <w:bCs/>
          <w:lang w:val="en-US" w:eastAsia="zh-CN"/>
        </w:rPr>
        <w:t>WUS design for I</w:t>
      </w:r>
      <w:r>
        <w:rPr>
          <w:rFonts w:hint="default" w:ascii="Times New Roman Bold" w:hAnsi="Times New Roman Bold" w:cs="Times New Roman Bold"/>
          <w:b w:val="0"/>
          <w:bCs w:val="0"/>
          <w:lang w:val="en-US" w:eastAsia="zh-CN"/>
        </w:rPr>
        <w:t>oT</w:t>
      </w:r>
      <w:r>
        <w:rPr>
          <w:rFonts w:hint="default"/>
          <w:b w:val="0"/>
          <w:bCs w:val="0"/>
          <w:lang w:val="en-US" w:eastAsia="zh-CN"/>
        </w:rPr>
        <w:t xml:space="preserve">: </w:t>
      </w:r>
      <w:r>
        <w:rPr>
          <w:rFonts w:hint="default"/>
          <w:lang w:val="en-US" w:eastAsia="zh-CN"/>
        </w:rPr>
        <w:t>WUS in LTE IoT was introduced in Rel-15 for IoT and LTE-M to reduce idle-mode power consumption, later enhanced in Rel-16 with group WUS. It enables a low-power receiver to detect a short pre-paging signal, avoiding unnecessary wake-ups. This evolution addressed deep-coverage reliability, paging false-alarm reduction, and flexible configuration via RRC parameters in TS 36.304/36.331.</w:t>
      </w:r>
    </w:p>
    <w:p w14:paraId="459E35B7">
      <w:pPr>
        <w:pStyle w:val="17"/>
        <w:rPr>
          <w:rFonts w:hint="default" w:ascii="Times New Roman Bold Italic" w:hAnsi="Times New Roman Bold Italic" w:cs="Times New Roman Bold Italic"/>
          <w:b/>
          <w:bCs/>
          <w:i/>
          <w:iCs/>
          <w:color w:val="auto"/>
          <w:sz w:val="22"/>
          <w:szCs w:val="22"/>
          <w:lang w:val="en-US"/>
        </w:rPr>
      </w:pPr>
      <w:r>
        <w:rPr>
          <w:rFonts w:hint="default" w:ascii="Times New Roman Bold Italic" w:hAnsi="Times New Roman Bold Italic" w:cs="Times New Roman Bold Italic"/>
          <w:b/>
          <w:bCs/>
          <w:i/>
          <w:iCs/>
          <w:color w:val="auto"/>
          <w:sz w:val="22"/>
          <w:szCs w:val="22"/>
          <w:lang w:val="en-US"/>
        </w:rPr>
        <w:t>Observation 1: At least three types of technologies have been specified for energy savings in LTE/LTE-A, including</w:t>
      </w:r>
    </w:p>
    <w:p w14:paraId="6AA0058D">
      <w:pPr>
        <w:pStyle w:val="17"/>
        <w:numPr>
          <w:ilvl w:val="0"/>
          <w:numId w:val="11"/>
        </w:numPr>
        <w:ind w:left="420" w:leftChars="0" w:hanging="420" w:firstLineChars="0"/>
        <w:rPr>
          <w:rFonts w:hint="default" w:ascii="Times New Roman Bold Italic" w:hAnsi="Times New Roman Bold Italic" w:cs="Times New Roman Bold Italic"/>
          <w:b/>
          <w:bCs/>
          <w:i/>
          <w:iCs/>
          <w:color w:val="auto"/>
          <w:sz w:val="22"/>
          <w:szCs w:val="22"/>
          <w:lang w:val="en-US"/>
        </w:rPr>
      </w:pPr>
      <w:r>
        <w:rPr>
          <w:rFonts w:hint="default" w:ascii="Times New Roman Bold Italic" w:hAnsi="Times New Roman Bold Italic" w:cs="Times New Roman Bold Italic"/>
          <w:b/>
          <w:bCs/>
          <w:i/>
          <w:iCs/>
          <w:color w:val="auto"/>
          <w:sz w:val="22"/>
          <w:szCs w:val="22"/>
          <w:lang w:val="en-US"/>
        </w:rPr>
        <w:t>DRX of terminal, including C-DRX/I-DRX</w:t>
      </w:r>
      <w:r>
        <w:rPr>
          <w:rFonts w:hint="eastAsia" w:ascii="Times New Roman Bold Italic" w:hAnsi="Times New Roman Bold Italic" w:cs="Times New Roman Bold Italic"/>
          <w:b/>
          <w:bCs/>
          <w:i/>
          <w:iCs/>
          <w:color w:val="auto"/>
          <w:sz w:val="22"/>
          <w:szCs w:val="22"/>
          <w:lang w:val="en-US" w:eastAsia="zh-CN"/>
        </w:rPr>
        <w:t>/eDRX</w:t>
      </w:r>
    </w:p>
    <w:p w14:paraId="5D340C57">
      <w:pPr>
        <w:pStyle w:val="17"/>
        <w:numPr>
          <w:ilvl w:val="0"/>
          <w:numId w:val="11"/>
        </w:numPr>
        <w:ind w:left="420" w:leftChars="0" w:hanging="420" w:firstLineChars="0"/>
        <w:rPr>
          <w:rFonts w:hint="default" w:ascii="Times New Roman Bold Italic" w:hAnsi="Times New Roman Bold Italic" w:cs="Times New Roman Bold Italic"/>
          <w:b/>
          <w:bCs/>
          <w:i/>
          <w:iCs/>
          <w:color w:val="auto"/>
          <w:sz w:val="22"/>
          <w:szCs w:val="22"/>
          <w:lang w:val="en-US"/>
        </w:rPr>
      </w:pPr>
      <w:r>
        <w:rPr>
          <w:rFonts w:hint="default" w:ascii="Times New Roman Bold Italic" w:hAnsi="Times New Roman Bold Italic" w:cs="Times New Roman Bold Italic"/>
          <w:b/>
          <w:bCs/>
          <w:i/>
          <w:iCs/>
          <w:color w:val="auto"/>
          <w:sz w:val="22"/>
          <w:szCs w:val="22"/>
          <w:lang w:val="en-US"/>
        </w:rPr>
        <w:t>BS energy reduction, including dormant Cells</w:t>
      </w:r>
    </w:p>
    <w:p w14:paraId="3B976EE7">
      <w:pPr>
        <w:pStyle w:val="17"/>
        <w:numPr>
          <w:ilvl w:val="0"/>
          <w:numId w:val="11"/>
        </w:numPr>
        <w:ind w:left="420" w:leftChars="0" w:hanging="420" w:firstLineChars="0"/>
        <w:rPr>
          <w:rFonts w:hint="default" w:ascii="Times New Roman Bold Italic" w:hAnsi="Times New Roman Bold Italic" w:cs="Times New Roman Bold Italic"/>
          <w:b/>
          <w:bCs/>
          <w:i/>
          <w:iCs/>
          <w:color w:val="auto"/>
          <w:sz w:val="22"/>
          <w:szCs w:val="22"/>
          <w:lang w:val="en-US"/>
        </w:rPr>
      </w:pPr>
      <w:r>
        <w:rPr>
          <w:rFonts w:hint="default" w:ascii="Times New Roman Bold Italic" w:hAnsi="Times New Roman Bold Italic" w:cs="Times New Roman Bold Italic"/>
          <w:b/>
          <w:bCs/>
          <w:i/>
          <w:iCs/>
          <w:sz w:val="22"/>
          <w:szCs w:val="22"/>
        </w:rPr>
        <w:t>Extended Discontinuous Reception</w:t>
      </w:r>
      <w:r>
        <w:rPr>
          <w:rFonts w:hint="eastAsia" w:ascii="Times New Roman Bold Italic" w:hAnsi="Times New Roman Bold Italic" w:cs="Times New Roman Bold Italic"/>
          <w:b/>
          <w:bCs/>
          <w:i/>
          <w:iCs/>
          <w:sz w:val="22"/>
          <w:szCs w:val="22"/>
          <w:lang w:val="en-US" w:eastAsia="zh-CN"/>
        </w:rPr>
        <w:t xml:space="preserve"> or WUS design</w:t>
      </w:r>
      <w:r>
        <w:rPr>
          <w:rFonts w:hint="default" w:ascii="Times New Roman Bold Italic" w:hAnsi="Times New Roman Bold Italic" w:cs="Times New Roman Bold Italic"/>
          <w:b/>
          <w:bCs/>
          <w:i/>
          <w:iCs/>
          <w:sz w:val="22"/>
          <w:szCs w:val="22"/>
        </w:rPr>
        <w:t xml:space="preserve"> for IoT</w:t>
      </w:r>
      <w:r>
        <w:rPr>
          <w:rFonts w:hint="eastAsia" w:ascii="Times New Roman Bold Italic" w:hAnsi="Times New Roman Bold Italic" w:cs="Times New Roman Bold Italic"/>
          <w:b/>
          <w:bCs/>
          <w:i/>
          <w:iCs/>
          <w:sz w:val="22"/>
          <w:szCs w:val="22"/>
          <w:lang w:val="en-US" w:eastAsia="zh-CN"/>
        </w:rPr>
        <w:t xml:space="preserve"> devices</w:t>
      </w:r>
      <w:r>
        <w:rPr>
          <w:rFonts w:hint="default" w:ascii="Times New Roman Bold Italic" w:hAnsi="Times New Roman Bold Italic" w:cs="Times New Roman Bold Italic"/>
          <w:b/>
          <w:bCs/>
          <w:i/>
          <w:iCs/>
          <w:sz w:val="22"/>
          <w:szCs w:val="22"/>
          <w:lang w:val="en-US"/>
        </w:rPr>
        <w:t>, including eDRX or PSM</w:t>
      </w:r>
    </w:p>
    <w:p w14:paraId="270FCFC9">
      <w:pPr>
        <w:rPr>
          <w:rFonts w:hint="eastAsia"/>
        </w:rPr>
      </w:pPr>
    </w:p>
    <w:p w14:paraId="03B3DF48">
      <w:pPr>
        <w:pStyle w:val="3"/>
      </w:pPr>
      <w:r>
        <w:rPr>
          <w:rFonts w:hint="default"/>
          <w:lang w:val="en-US"/>
        </w:rPr>
        <w:t xml:space="preserve"> 5G NR energy savings enhancements</w:t>
      </w:r>
    </w:p>
    <w:p w14:paraId="7363F14D">
      <w:pPr>
        <w:pStyle w:val="83"/>
        <w:rPr>
          <w:color w:val="auto"/>
          <w:sz w:val="22"/>
          <w:szCs w:val="22"/>
        </w:rPr>
      </w:pPr>
      <w:r>
        <w:rPr>
          <w:b/>
          <w:bCs/>
          <w:sz w:val="22"/>
          <w:szCs w:val="22"/>
        </w:rPr>
        <w:t>Built-in Bandwidth Adaptation:</w:t>
      </w:r>
      <w:r>
        <w:rPr>
          <w:sz w:val="22"/>
          <w:szCs w:val="22"/>
        </w:rPr>
        <w:t xml:space="preserve"> 5G NR (Release 15) was designed with native support for energy saving via </w:t>
      </w:r>
      <w:r>
        <w:rPr>
          <w:i w:val="0"/>
          <w:iCs w:val="0"/>
          <w:sz w:val="22"/>
          <w:szCs w:val="22"/>
        </w:rPr>
        <w:t>bandwidth adaptation.</w:t>
      </w:r>
      <w:r>
        <w:rPr>
          <w:sz w:val="22"/>
          <w:szCs w:val="22"/>
        </w:rPr>
        <w:t xml:space="preserve"> NR introduced the concept</w:t>
      </w:r>
      <w:r>
        <w:rPr>
          <w:rFonts w:hint="default" w:ascii="Times New Roman" w:hAnsi="Times New Roman" w:cs="Times New Roman"/>
          <w:b w:val="0"/>
          <w:bCs w:val="0"/>
          <w:sz w:val="22"/>
          <w:szCs w:val="22"/>
        </w:rPr>
        <w:t xml:space="preserve"> of BWP, which let a device operate on a narrower bandwidth than the full carrier when high throughput is not needed. By dynamically switching to a smaller BWP, the UE can shut off some RF processing (fewer Fast Fourier Transform bins, etc.), saving power. For instance, a 100 MHz NR carrier might have a UE configured with a 20 MHz active BWP during low data rate periods. If more capacity is required, the network can command the UE to switch to a wider BWP. This flexibility allows NR UEs to tailor their activity and power consumption to the current traffic dema</w:t>
      </w:r>
      <w:r>
        <w:rPr>
          <w:rFonts w:hint="default" w:ascii="Times New Roman" w:hAnsi="Times New Roman" w:cs="Times New Roman"/>
          <w:b w:val="0"/>
          <w:bCs w:val="0"/>
          <w:color w:val="auto"/>
          <w:sz w:val="22"/>
          <w:szCs w:val="22"/>
        </w:rPr>
        <w:t>nds. Additionally, NR permits longer periodicit</w:t>
      </w:r>
      <w:r>
        <w:rPr>
          <w:rFonts w:hint="default" w:cs="Times New Roman"/>
          <w:b w:val="0"/>
          <w:bCs w:val="0"/>
          <w:color w:val="auto"/>
          <w:sz w:val="22"/>
          <w:szCs w:val="22"/>
          <w:lang w:val="en-US"/>
        </w:rPr>
        <w:t>y</w:t>
      </w:r>
      <w:r>
        <w:rPr>
          <w:rFonts w:hint="default" w:ascii="Times New Roman" w:hAnsi="Times New Roman" w:cs="Times New Roman"/>
          <w:b w:val="0"/>
          <w:bCs w:val="0"/>
          <w:color w:val="auto"/>
          <w:sz w:val="22"/>
          <w:szCs w:val="22"/>
        </w:rPr>
        <w:t xml:space="preserve"> for synchronization signals and certain system information. Unlike LTE which broadcast primary synchronization signals every 5 ms and other system information frequently, NR’s SSBs can be configured with a periodicity up to 20 ms or more</w:t>
      </w:r>
      <w:r>
        <w:rPr>
          <w:rFonts w:hint="default" w:cs="Times New Roman"/>
          <w:b w:val="0"/>
          <w:bCs w:val="0"/>
          <w:color w:val="auto"/>
          <w:sz w:val="22"/>
          <w:szCs w:val="22"/>
          <w:lang w:val="en-US"/>
        </w:rPr>
        <w:t xml:space="preserve"> (e.g., 160ms)</w:t>
      </w:r>
      <w:r>
        <w:rPr>
          <w:rFonts w:hint="default" w:ascii="Times New Roman" w:hAnsi="Times New Roman" w:cs="Times New Roman"/>
          <w:b w:val="0"/>
          <w:bCs w:val="0"/>
          <w:color w:val="auto"/>
          <w:sz w:val="22"/>
          <w:szCs w:val="22"/>
        </w:rPr>
        <w:t>. This reduces the frequency of always-on transmissions in low-load scenarios. These design choices show how 3GPP “kept energy-efficiency in mind” during 5G standardization</w:t>
      </w:r>
    </w:p>
    <w:p w14:paraId="1231071C">
      <w:pPr>
        <w:pStyle w:val="17"/>
        <w:jc w:val="left"/>
        <w:rPr>
          <w:color w:val="auto"/>
          <w:sz w:val="22"/>
          <w:szCs w:val="22"/>
        </w:rPr>
      </w:pPr>
      <w:r>
        <w:rPr>
          <w:b/>
          <w:bCs/>
          <w:color w:val="auto"/>
          <w:sz w:val="22"/>
          <w:szCs w:val="22"/>
        </w:rPr>
        <w:t>UE Power Saving Features in NR Releases 16–17:</w:t>
      </w:r>
      <w:r>
        <w:rPr>
          <w:color w:val="auto"/>
          <w:sz w:val="22"/>
          <w:szCs w:val="22"/>
        </w:rPr>
        <w:t xml:space="preserve"> Subsequent 5G releases brought significant enhancements for UE energy efficiency:</w:t>
      </w:r>
    </w:p>
    <w:p w14:paraId="6A65C9B2">
      <w:pPr>
        <w:pStyle w:val="17"/>
        <w:numPr>
          <w:ilvl w:val="0"/>
          <w:numId w:val="12"/>
        </w:numPr>
        <w:ind w:left="420" w:leftChars="0" w:hanging="420" w:firstLineChars="0"/>
        <w:jc w:val="both"/>
        <w:rPr>
          <w:color w:val="auto"/>
          <w:sz w:val="22"/>
          <w:szCs w:val="22"/>
        </w:rPr>
      </w:pPr>
      <w:r>
        <w:rPr>
          <w:b/>
          <w:bCs/>
          <w:color w:val="auto"/>
          <w:sz w:val="22"/>
          <w:szCs w:val="22"/>
        </w:rPr>
        <w:t>RRC Inactive State:</w:t>
      </w:r>
      <w:r>
        <w:rPr>
          <w:color w:val="auto"/>
          <w:sz w:val="22"/>
          <w:szCs w:val="22"/>
        </w:rPr>
        <w:t xml:space="preserve"> In Release 16, 5G introduced an interm</w:t>
      </w:r>
      <w:r>
        <w:rPr>
          <w:rFonts w:hint="default" w:ascii="Times New Roman" w:hAnsi="Times New Roman" w:cs="Times New Roman"/>
          <w:b w:val="0"/>
          <w:bCs w:val="0"/>
          <w:color w:val="auto"/>
          <w:sz w:val="22"/>
          <w:szCs w:val="22"/>
        </w:rPr>
        <w:t>ediate state called RRC_INACTIVE to avoid excessive signaling when a device has intermittent traffic. In RRC_INACTIVE, a UE can drop the radio link (similar to idle mode) but remains registered with context in the gNB, so it can quickly resume to RRC_CONNECTED when data arrives without a full reconnection. This reduces the energy spent in transitioning between idle and connected for bursty applications. It also enables longer sleep durations between active periods, as UEs in RRC_INACTIVE need only listen for paging (with extended DRX) instead of maintaining an active connection.</w:t>
      </w:r>
    </w:p>
    <w:p w14:paraId="560E42A6">
      <w:pPr>
        <w:pStyle w:val="17"/>
        <w:numPr>
          <w:ilvl w:val="0"/>
          <w:numId w:val="12"/>
        </w:numPr>
        <w:ind w:left="420" w:leftChars="0" w:hanging="420" w:firstLineChars="0"/>
        <w:jc w:val="both"/>
        <w:rPr>
          <w:color w:val="auto"/>
          <w:sz w:val="22"/>
          <w:szCs w:val="22"/>
        </w:rPr>
      </w:pPr>
      <w:r>
        <w:rPr>
          <w:b/>
          <w:bCs/>
          <w:color w:val="auto"/>
          <w:sz w:val="22"/>
          <w:szCs w:val="22"/>
        </w:rPr>
        <w:t>Wake-Up Signal (WUS):</w:t>
      </w:r>
      <w:r>
        <w:rPr>
          <w:color w:val="auto"/>
          <w:sz w:val="22"/>
          <w:szCs w:val="22"/>
        </w:rPr>
        <w:t xml:space="preserve"> Release 16 also introduced t</w:t>
      </w:r>
      <w:r>
        <w:rPr>
          <w:rFonts w:hint="default" w:ascii="Times New Roman" w:hAnsi="Times New Roman" w:cs="Times New Roman"/>
          <w:b w:val="0"/>
          <w:bCs w:val="0"/>
          <w:i w:val="0"/>
          <w:iCs w:val="0"/>
          <w:color w:val="auto"/>
          <w:sz w:val="22"/>
          <w:szCs w:val="22"/>
        </w:rPr>
        <w:t>he wake-up signal mechanism to further optimize DRX. In traditional DRX, a UE periodically wakes at the on-duration to monitor the control channel (PDCCH) for incoming data. WUS adds a brief indicator signal prior to the DRX on-duration to inform the UE whether it needs to wake or can continue sleeping. If the gNB has no data for the UE, it sends a “no wake-up” indication (via a special DCI or signal) so the UE can skip monitoring and stay in low-power mode. Only if the WUS indicates pending data will the UE fully wake to receive the PDCCH and data. This mechanism can dramatically reduce UE power consumption, especially for long DRX cycles, by cutting unnecessary wake-ups. WUS is configured via RRC and UEs signal support for it (since legacy UEs would not recognize the indication). Tests have shown notable energy savings for devices when WUS is employed in low-traffic conditions.</w:t>
      </w:r>
      <w:r>
        <w:rPr>
          <w:rFonts w:hint="default" w:cs="Times New Roman"/>
          <w:b w:val="0"/>
          <w:bCs w:val="0"/>
          <w:i w:val="0"/>
          <w:iCs w:val="0"/>
          <w:color w:val="auto"/>
          <w:sz w:val="22"/>
          <w:szCs w:val="22"/>
          <w:lang w:val="en-US"/>
        </w:rPr>
        <w:t xml:space="preserve"> </w:t>
      </w:r>
    </w:p>
    <w:p w14:paraId="0C95A936">
      <w:pPr>
        <w:pStyle w:val="17"/>
        <w:numPr>
          <w:ilvl w:val="0"/>
          <w:numId w:val="12"/>
        </w:numPr>
        <w:ind w:left="420" w:leftChars="0" w:hanging="420" w:firstLineChars="0"/>
        <w:jc w:val="both"/>
        <w:rPr>
          <w:color w:val="auto"/>
          <w:sz w:val="22"/>
          <w:szCs w:val="22"/>
        </w:rPr>
      </w:pPr>
      <w:r>
        <w:rPr>
          <w:b/>
          <w:bCs/>
          <w:color w:val="auto"/>
          <w:sz w:val="22"/>
          <w:szCs w:val="22"/>
        </w:rPr>
        <w:t>Connected Mode Enhancements:</w:t>
      </w:r>
      <w:r>
        <w:rPr>
          <w:color w:val="auto"/>
          <w:sz w:val="22"/>
          <w:szCs w:val="22"/>
        </w:rPr>
        <w:t xml:space="preserve"> Release 17 introduced additional features for UE power saving. One is </w:t>
      </w:r>
      <w:r>
        <w:rPr>
          <w:b w:val="0"/>
          <w:bCs w:val="0"/>
          <w:color w:val="auto"/>
          <w:sz w:val="22"/>
          <w:szCs w:val="22"/>
        </w:rPr>
        <w:t>dynamic PDCCH monitoring adaptation, where a UE can be instructed to skip certain search spaces or monitor a subset of control channel candidates b</w:t>
      </w:r>
      <w:r>
        <w:rPr>
          <w:color w:val="auto"/>
          <w:sz w:val="22"/>
          <w:szCs w:val="22"/>
        </w:rPr>
        <w:t>ased on traffic conditions. Another</w:t>
      </w:r>
      <w:r>
        <w:rPr>
          <w:rFonts w:hint="default" w:ascii="Times New Roman" w:hAnsi="Times New Roman" w:cs="Times New Roman"/>
          <w:b w:val="0"/>
          <w:bCs w:val="0"/>
          <w:color w:val="auto"/>
          <w:sz w:val="22"/>
          <w:szCs w:val="22"/>
        </w:rPr>
        <w:t xml:space="preserve"> is SCell dormancy in Carrier Aggregation – if a UE has multiple component carriers, an SCell can be put into a dormant state (no continuous monitoring) when its traffic is low, with the UE only occasionally checking that cell or reactivating it on demand. Release 17 also specified a low-power secondary receiver for UEs. This is effectively a pared-down RF chain that can handle basic signaling (like wake-up signals or paging) with much lower power consumption than the main RF circuitry. The UE can use the low-power receiver to listen for critical signals and wake the primary receiver only when necessary, yielding significant battery savings. This idea of a wake-up receiver has been discussed in </w:t>
      </w:r>
      <w:r>
        <w:rPr>
          <w:color w:val="auto"/>
          <w:sz w:val="22"/>
          <w:szCs w:val="22"/>
        </w:rPr>
        <w:t>literature and now entered standards as a way to push UE power consumption even lower.</w:t>
      </w:r>
    </w:p>
    <w:p w14:paraId="50C5DF79">
      <w:pPr>
        <w:pStyle w:val="17"/>
        <w:numPr>
          <w:ilvl w:val="0"/>
          <w:numId w:val="12"/>
        </w:numPr>
        <w:ind w:left="420" w:leftChars="0" w:hanging="420" w:firstLineChars="0"/>
        <w:jc w:val="both"/>
        <w:rPr>
          <w:color w:val="auto"/>
          <w:sz w:val="22"/>
          <w:szCs w:val="22"/>
        </w:rPr>
      </w:pPr>
      <w:r>
        <w:rPr>
          <w:rFonts w:hint="default" w:ascii="Times New Roman Bold" w:hAnsi="Times New Roman Bold" w:cs="Times New Roman Bold"/>
          <w:b/>
          <w:bCs/>
          <w:color w:val="auto"/>
          <w:sz w:val="22"/>
          <w:szCs w:val="22"/>
          <w:lang w:val="en-US" w:eastAsia="zh-CN"/>
        </w:rPr>
        <w:t xml:space="preserve">LP-WUS </w:t>
      </w:r>
      <w:r>
        <w:rPr>
          <w:rFonts w:hint="eastAsia" w:ascii="Times New Roman Bold" w:hAnsi="Times New Roman Bold" w:cs="Times New Roman Bold"/>
          <w:b/>
          <w:bCs/>
          <w:color w:val="auto"/>
          <w:sz w:val="22"/>
          <w:szCs w:val="22"/>
          <w:lang w:val="en-US" w:eastAsia="zh-CN"/>
        </w:rPr>
        <w:t>design</w:t>
      </w:r>
      <w:r>
        <w:rPr>
          <w:rFonts w:hint="default"/>
          <w:color w:val="auto"/>
          <w:sz w:val="22"/>
          <w:szCs w:val="22"/>
          <w:lang w:val="en-US" w:eastAsia="zh-CN"/>
        </w:rPr>
        <w:t>:</w:t>
      </w:r>
      <w:r>
        <w:rPr>
          <w:rFonts w:hint="eastAsia"/>
          <w:color w:val="auto"/>
          <w:sz w:val="22"/>
          <w:szCs w:val="22"/>
          <w:lang w:val="en-US" w:eastAsia="zh-CN"/>
        </w:rPr>
        <w:t xml:space="preserve"> Low-Power Wake-Up Signal (LP-WUS) advances NR energy-saving by enabling UEs in ultra-deep sleep state to detect a short, robust signal before paging, avoiding unnecessary receiver activation and cutting idle-mode power consumption. Initial standardization defined basic WUS structure, resource mapping, and coding to meet FAR and MDR performance. This evolution supports finer-grained, on-demand wake-up, extending battery life while preserving reliable paging performance.</w:t>
      </w:r>
    </w:p>
    <w:p w14:paraId="146BFC4F">
      <w:pPr>
        <w:pStyle w:val="17"/>
        <w:numPr>
          <w:ilvl w:val="0"/>
          <w:numId w:val="12"/>
        </w:numPr>
        <w:ind w:left="420" w:leftChars="0" w:hanging="420" w:firstLineChars="0"/>
        <w:jc w:val="both"/>
        <w:rPr>
          <w:color w:val="auto"/>
          <w:sz w:val="22"/>
          <w:szCs w:val="22"/>
        </w:rPr>
      </w:pPr>
      <w:r>
        <w:rPr>
          <w:rFonts w:hint="default" w:ascii="Times New Roman Bold" w:hAnsi="Times New Roman Bold" w:cs="Times New Roman Bold"/>
          <w:b/>
          <w:bCs/>
          <w:color w:val="auto"/>
          <w:sz w:val="22"/>
          <w:szCs w:val="22"/>
          <w:lang w:val="en-US" w:eastAsia="zh-CN"/>
        </w:rPr>
        <w:t>MICO (Mobile Initiated Connection Only)</w:t>
      </w:r>
      <w:r>
        <w:rPr>
          <w:rFonts w:hint="default"/>
          <w:color w:val="auto"/>
          <w:sz w:val="22"/>
          <w:szCs w:val="22"/>
          <w:lang w:val="en-US" w:eastAsia="zh-CN"/>
        </w:rPr>
        <w:t>: standardized in 3GPP Release 15, enables extreme energy efficiency for IoT devices by restricting connectivity initiation to the UE. After registration, devices enter deep sleep, disabling paging reception while maintaining periodic registration updates</w:t>
      </w:r>
      <w:r>
        <w:rPr>
          <w:rFonts w:hint="eastAsia"/>
          <w:color w:val="auto"/>
          <w:sz w:val="22"/>
          <w:szCs w:val="22"/>
          <w:lang w:val="en-US" w:eastAsia="zh-CN"/>
        </w:rPr>
        <w:t xml:space="preserve"> if</w:t>
      </w:r>
      <w:r>
        <w:rPr>
          <w:rFonts w:hint="default"/>
          <w:color w:val="auto"/>
          <w:sz w:val="22"/>
          <w:szCs w:val="22"/>
          <w:lang w:val="en-US" w:eastAsia="zh-CN"/>
        </w:rPr>
        <w:t xml:space="preserve"> any. Connectivity resumes only when the UE transmits data or refreshes registration. This eliminates idle-mode paging monitoring, extending battery life to years for uplink-centric applications (e.g., smart metering, environmental sensing). MICO reduces network signaling overhead and supports massive IoT deployments through UE-driven connectivity control. </w:t>
      </w:r>
    </w:p>
    <w:p w14:paraId="0A2F0AB5">
      <w:pPr>
        <w:pStyle w:val="17"/>
        <w:rPr>
          <w:color w:val="auto"/>
          <w:sz w:val="22"/>
          <w:szCs w:val="22"/>
        </w:rPr>
      </w:pPr>
      <w:r>
        <w:rPr>
          <w:b/>
          <w:bCs/>
          <w:color w:val="auto"/>
          <w:sz w:val="22"/>
          <w:szCs w:val="22"/>
          <w:lang w:val="en-US"/>
        </w:rPr>
        <w:t>RedCap</w:t>
      </w:r>
      <w:r>
        <w:rPr>
          <w:rFonts w:hint="default"/>
          <w:b/>
          <w:bCs/>
          <w:color w:val="auto"/>
          <w:sz w:val="22"/>
          <w:szCs w:val="22"/>
          <w:lang w:val="en-US"/>
        </w:rPr>
        <w:t xml:space="preserve"> </w:t>
      </w:r>
      <w:r>
        <w:rPr>
          <w:b/>
          <w:bCs/>
          <w:color w:val="auto"/>
          <w:sz w:val="22"/>
          <w:szCs w:val="22"/>
        </w:rPr>
        <w:t>Devices:</w:t>
      </w:r>
      <w:r>
        <w:rPr>
          <w:color w:val="auto"/>
          <w:sz w:val="22"/>
          <w:szCs w:val="22"/>
        </w:rPr>
        <w:t xml:space="preserve"> Another Release 17 innovation is </w:t>
      </w:r>
      <w:r>
        <w:rPr>
          <w:b w:val="0"/>
          <w:bCs w:val="0"/>
          <w:color w:val="auto"/>
          <w:sz w:val="22"/>
          <w:szCs w:val="22"/>
        </w:rPr>
        <w:t xml:space="preserve">NR </w:t>
      </w:r>
      <w:r>
        <w:rPr>
          <w:b w:val="0"/>
          <w:bCs w:val="0"/>
          <w:color w:val="auto"/>
          <w:sz w:val="22"/>
          <w:szCs w:val="22"/>
          <w:lang w:val="en-US"/>
        </w:rPr>
        <w:t>RedCap</w:t>
      </w:r>
      <w:r>
        <w:rPr>
          <w:b w:val="0"/>
          <w:bCs w:val="0"/>
          <w:color w:val="auto"/>
          <w:sz w:val="22"/>
          <w:szCs w:val="22"/>
        </w:rPr>
        <w:t xml:space="preserve">(Reduced Capability, also known informally as NR-Light). </w:t>
      </w:r>
      <w:r>
        <w:rPr>
          <w:b w:val="0"/>
          <w:bCs w:val="0"/>
          <w:color w:val="auto"/>
          <w:sz w:val="22"/>
          <w:szCs w:val="22"/>
          <w:lang w:val="en-US"/>
        </w:rPr>
        <w:t>RedCap</w:t>
      </w:r>
      <w:r>
        <w:rPr>
          <w:rFonts w:hint="default"/>
          <w:b w:val="0"/>
          <w:bCs w:val="0"/>
          <w:color w:val="auto"/>
          <w:sz w:val="22"/>
          <w:szCs w:val="22"/>
          <w:lang w:val="en-US"/>
        </w:rPr>
        <w:t xml:space="preserve"> </w:t>
      </w:r>
      <w:r>
        <w:rPr>
          <w:b w:val="0"/>
          <w:bCs w:val="0"/>
          <w:color w:val="auto"/>
          <w:sz w:val="22"/>
          <w:szCs w:val="22"/>
        </w:rPr>
        <w:t xml:space="preserve">targets mid-tier IoT and wearable devices that do not require full 5G performance but need better efficiency than typical smartphones. A </w:t>
      </w:r>
      <w:r>
        <w:rPr>
          <w:b w:val="0"/>
          <w:bCs w:val="0"/>
          <w:color w:val="auto"/>
          <w:sz w:val="22"/>
          <w:szCs w:val="22"/>
          <w:lang w:val="en-US"/>
        </w:rPr>
        <w:t>RedCap</w:t>
      </w:r>
      <w:r>
        <w:rPr>
          <w:rFonts w:hint="default"/>
          <w:b w:val="0"/>
          <w:bCs w:val="0"/>
          <w:color w:val="auto"/>
          <w:sz w:val="22"/>
          <w:szCs w:val="22"/>
          <w:lang w:val="en-US"/>
        </w:rPr>
        <w:t xml:space="preserve"> </w:t>
      </w:r>
      <w:r>
        <w:rPr>
          <w:b w:val="0"/>
          <w:bCs w:val="0"/>
          <w:color w:val="auto"/>
          <w:sz w:val="22"/>
          <w:szCs w:val="22"/>
        </w:rPr>
        <w:t xml:space="preserve">device’s RF and baseband are simplified: it supports a maximum bandwidth of 20 MHz, a single transmit/receive antenna, and no carrier aggregation or MIMO streams. This simplification cuts both cost and power consumption for the device, while still allowing moderate data rates (~100–200 Mbps). By eliminating power-hungry features (multiple antennas, wide bandwidth processing, etc.), </w:t>
      </w:r>
      <w:r>
        <w:rPr>
          <w:b w:val="0"/>
          <w:bCs w:val="0"/>
          <w:color w:val="auto"/>
          <w:sz w:val="22"/>
          <w:szCs w:val="22"/>
          <w:lang w:val="en-US"/>
        </w:rPr>
        <w:t>RedCap</w:t>
      </w:r>
      <w:r>
        <w:rPr>
          <w:rFonts w:hint="default"/>
          <w:b w:val="0"/>
          <w:bCs w:val="0"/>
          <w:color w:val="auto"/>
          <w:sz w:val="22"/>
          <w:szCs w:val="22"/>
          <w:lang w:val="en-US"/>
        </w:rPr>
        <w:t xml:space="preserve"> </w:t>
      </w:r>
      <w:r>
        <w:rPr>
          <w:b w:val="0"/>
          <w:bCs w:val="0"/>
          <w:color w:val="auto"/>
          <w:sz w:val="22"/>
          <w:szCs w:val="22"/>
        </w:rPr>
        <w:t xml:space="preserve">UEs can operate longer on battery and use simpler hardware. In Release 18, enhanced </w:t>
      </w:r>
      <w:r>
        <w:rPr>
          <w:b w:val="0"/>
          <w:bCs w:val="0"/>
          <w:color w:val="auto"/>
          <w:sz w:val="22"/>
          <w:szCs w:val="22"/>
          <w:lang w:val="en-US"/>
        </w:rPr>
        <w:t>RedCap</w:t>
      </w:r>
      <w:r>
        <w:rPr>
          <w:rFonts w:hint="default"/>
          <w:b w:val="0"/>
          <w:bCs w:val="0"/>
          <w:color w:val="auto"/>
          <w:sz w:val="22"/>
          <w:szCs w:val="22"/>
          <w:lang w:val="en-US"/>
        </w:rPr>
        <w:t xml:space="preserve"> </w:t>
      </w:r>
      <w:r>
        <w:rPr>
          <w:b w:val="0"/>
          <w:bCs w:val="0"/>
          <w:color w:val="auto"/>
          <w:sz w:val="22"/>
          <w:szCs w:val="22"/>
        </w:rPr>
        <w:t xml:space="preserve">(eRedCap) goes further by capping data rates to ~10 Mbps and introducing even more power-saving optimizations. Importantly, many power-saving features in 5G are not restricted to </w:t>
      </w:r>
      <w:r>
        <w:rPr>
          <w:b w:val="0"/>
          <w:bCs w:val="0"/>
          <w:color w:val="auto"/>
          <w:sz w:val="22"/>
          <w:szCs w:val="22"/>
          <w:lang w:val="en-US"/>
        </w:rPr>
        <w:t>RedCap</w:t>
      </w:r>
      <w:r>
        <w:rPr>
          <w:b w:val="0"/>
          <w:bCs w:val="0"/>
          <w:color w:val="auto"/>
          <w:sz w:val="22"/>
          <w:szCs w:val="22"/>
        </w:rPr>
        <w:t xml:space="preserve">– for instance, a regular NR UE can also benefit from longer DRX or wake-up signals. The standard notes that features like extended DRX cycles (originally introduced in LTE Rel-13 for IoT) are being improved in NR Release 18 to support even longer sleep intervals for both </w:t>
      </w:r>
      <w:r>
        <w:rPr>
          <w:b w:val="0"/>
          <w:bCs w:val="0"/>
          <w:color w:val="auto"/>
          <w:sz w:val="22"/>
          <w:szCs w:val="22"/>
          <w:lang w:val="en-US"/>
        </w:rPr>
        <w:t>RedCap</w:t>
      </w:r>
      <w:r>
        <w:rPr>
          <w:b w:val="0"/>
          <w:bCs w:val="0"/>
          <w:color w:val="auto"/>
          <w:sz w:val="22"/>
          <w:szCs w:val="22"/>
        </w:rPr>
        <w:t xml:space="preserve">and other device types. As of early 2025, the </w:t>
      </w:r>
      <w:r>
        <w:rPr>
          <w:b w:val="0"/>
          <w:bCs w:val="0"/>
          <w:color w:val="auto"/>
          <w:sz w:val="22"/>
          <w:szCs w:val="22"/>
          <w:lang w:val="en-US"/>
        </w:rPr>
        <w:t>RedCap</w:t>
      </w:r>
      <w:r>
        <w:rPr>
          <w:b w:val="0"/>
          <w:bCs w:val="0"/>
          <w:color w:val="auto"/>
          <w:sz w:val="22"/>
          <w:szCs w:val="22"/>
        </w:rPr>
        <w:t>ecosystem is beginning to emerge, promising IoT devices (like wearables, sensors, etc.) that leverage these 5G energy-saving capabilities in the field.</w:t>
      </w:r>
    </w:p>
    <w:p w14:paraId="423F8B38">
      <w:pPr>
        <w:pStyle w:val="17"/>
        <w:rPr>
          <w:color w:val="auto"/>
          <w:sz w:val="22"/>
          <w:szCs w:val="22"/>
        </w:rPr>
      </w:pPr>
      <w:r>
        <w:rPr>
          <w:b/>
          <w:bCs/>
          <w:color w:val="auto"/>
          <w:sz w:val="22"/>
          <w:szCs w:val="22"/>
        </w:rPr>
        <w:t>Network-Side Energy Savings in 5G-Advanced:</w:t>
      </w:r>
      <w:r>
        <w:rPr>
          <w:color w:val="auto"/>
          <w:sz w:val="22"/>
          <w:szCs w:val="22"/>
        </w:rPr>
        <w:t xml:space="preserve"> While early 5G releases focused largely on UE power efficiency, </w:t>
      </w:r>
      <w:r>
        <w:rPr>
          <w:b w:val="0"/>
          <w:bCs w:val="0"/>
          <w:color w:val="auto"/>
          <w:sz w:val="22"/>
          <w:szCs w:val="22"/>
        </w:rPr>
        <w:t>Release 18 (5G-Advanced) has turned attention to network energy savings for the RAN. A dedicated study item (3GPP TR 38.864) was completed evaluating techniques for reducing gNB power consumption</w:t>
      </w:r>
      <w:r>
        <w:rPr>
          <w:b w:val="0"/>
          <w:bCs w:val="0"/>
          <w:color w:val="auto"/>
          <w:sz w:val="22"/>
          <w:szCs w:val="22"/>
          <w:u w:val="none"/>
        </w:rPr>
        <w:fldChar w:fldCharType="begin"/>
      </w:r>
      <w:r>
        <w:rPr>
          <w:b w:val="0"/>
          <w:bCs w:val="0"/>
          <w:color w:val="auto"/>
          <w:sz w:val="22"/>
          <w:szCs w:val="22"/>
          <w:u w:val="none"/>
        </w:rPr>
        <w:instrText xml:space="preserve"> HYPERLINK "https://arxiv.org/pdf/2402.11993#:~:text=,RAN%20perspective%2C%E2%80%9D%20IEEE%20Communications" \h </w:instrText>
      </w:r>
      <w:r>
        <w:rPr>
          <w:b w:val="0"/>
          <w:bCs w:val="0"/>
          <w:color w:val="auto"/>
          <w:sz w:val="22"/>
          <w:szCs w:val="22"/>
          <w:u w:val="none"/>
        </w:rPr>
        <w:fldChar w:fldCharType="separate"/>
      </w:r>
      <w:r>
        <w:rPr>
          <w:rStyle w:val="32"/>
          <w:b w:val="0"/>
          <w:bCs w:val="0"/>
          <w:color w:val="auto"/>
          <w:sz w:val="22"/>
          <w:szCs w:val="22"/>
          <w:u w:val="none"/>
        </w:rPr>
        <w:t>[</w:t>
      </w:r>
      <w:r>
        <w:rPr>
          <w:rStyle w:val="32"/>
          <w:rFonts w:hint="eastAsia"/>
          <w:b w:val="0"/>
          <w:bCs w:val="0"/>
          <w:color w:val="auto"/>
          <w:sz w:val="22"/>
          <w:szCs w:val="22"/>
          <w:u w:val="none"/>
          <w:lang w:val="en-US" w:eastAsia="zh-CN"/>
        </w:rPr>
        <w:t>8</w:t>
      </w:r>
      <w:r>
        <w:rPr>
          <w:rStyle w:val="32"/>
          <w:b w:val="0"/>
          <w:bCs w:val="0"/>
          <w:color w:val="auto"/>
          <w:sz w:val="22"/>
          <w:szCs w:val="22"/>
          <w:u w:val="none"/>
        </w:rPr>
        <w:t>]</w:t>
      </w:r>
      <w:r>
        <w:rPr>
          <w:rStyle w:val="32"/>
          <w:b w:val="0"/>
          <w:bCs w:val="0"/>
          <w:color w:val="auto"/>
          <w:sz w:val="22"/>
          <w:szCs w:val="22"/>
          <w:u w:val="none"/>
        </w:rPr>
        <w:fldChar w:fldCharType="end"/>
      </w:r>
      <w:r>
        <w:rPr>
          <w:b w:val="0"/>
          <w:bCs w:val="0"/>
          <w:color w:val="auto"/>
          <w:sz w:val="22"/>
          <w:szCs w:val="22"/>
        </w:rPr>
        <w:t>. The study established a standardized base station power model with multiple sleep states (e.g. light sleep, deep sleep) and evaluated methods in various domains</w:t>
      </w:r>
      <w:r>
        <w:rPr>
          <w:b w:val="0"/>
          <w:bCs w:val="0"/>
          <w:color w:val="auto"/>
          <w:sz w:val="22"/>
          <w:szCs w:val="22"/>
        </w:rPr>
        <w:fldChar w:fldCharType="begin"/>
      </w:r>
      <w:r>
        <w:rPr>
          <w:b w:val="0"/>
          <w:bCs w:val="0"/>
          <w:color w:val="auto"/>
          <w:sz w:val="22"/>
          <w:szCs w:val="22"/>
        </w:rPr>
        <w:instrText xml:space="preserve"> HYPERLINK "https://www.3gpp.org/technologies/ran1-rel18#:~:text=6,NR" \h </w:instrText>
      </w:r>
      <w:r>
        <w:rPr>
          <w:b w:val="0"/>
          <w:bCs w:val="0"/>
          <w:color w:val="auto"/>
          <w:sz w:val="22"/>
          <w:szCs w:val="22"/>
        </w:rPr>
        <w:fldChar w:fldCharType="separate"/>
      </w:r>
      <w:r>
        <w:rPr>
          <w:rStyle w:val="32"/>
          <w:b w:val="0"/>
          <w:bCs w:val="0"/>
          <w:color w:val="auto"/>
          <w:sz w:val="22"/>
          <w:szCs w:val="22"/>
        </w:rPr>
        <w:fldChar w:fldCharType="end"/>
      </w:r>
      <w:r>
        <w:rPr>
          <w:b w:val="0"/>
          <w:bCs w:val="0"/>
          <w:color w:val="auto"/>
          <w:sz w:val="22"/>
          <w:szCs w:val="22"/>
        </w:rPr>
        <w:t xml:space="preserve">. Key areas include: </w:t>
      </w:r>
    </w:p>
    <w:p w14:paraId="2DE08BEC">
      <w:pPr>
        <w:pStyle w:val="17"/>
        <w:numPr>
          <w:ilvl w:val="0"/>
          <w:numId w:val="12"/>
        </w:numPr>
        <w:ind w:left="420" w:leftChars="0" w:hanging="420" w:firstLineChars="0"/>
        <w:rPr>
          <w:color w:val="auto"/>
          <w:sz w:val="22"/>
          <w:szCs w:val="22"/>
        </w:rPr>
      </w:pPr>
      <w:r>
        <w:rPr>
          <w:b/>
          <w:bCs/>
          <w:color w:val="auto"/>
          <w:sz w:val="22"/>
          <w:szCs w:val="22"/>
        </w:rPr>
        <w:t>Time-domain techniques:</w:t>
      </w:r>
      <w:r>
        <w:rPr>
          <w:color w:val="auto"/>
          <w:sz w:val="22"/>
          <w:szCs w:val="22"/>
        </w:rPr>
        <w:t xml:space="preserve"> Enhancements to cell DTX/DRX on the gNB</w:t>
      </w:r>
      <w:r>
        <w:rPr>
          <w:rFonts w:hint="default"/>
          <w:color w:val="auto"/>
          <w:sz w:val="22"/>
          <w:szCs w:val="22"/>
          <w:lang w:val="en-US"/>
        </w:rPr>
        <w:t xml:space="preserve">, which </w:t>
      </w:r>
      <w:r>
        <w:rPr>
          <w:color w:val="auto"/>
          <w:sz w:val="22"/>
          <w:szCs w:val="22"/>
        </w:rPr>
        <w:t>allows a base station to transmit discontinuously – e.g. muting downlink signals during predefined “off” periods when there is no traffic – analogous to the LTE DTX concept but now standardized. Release 18 specifies mechanisms for aligning cell DTX/DRX periods with UE DRX cycles and for exchanging information between neighboring nodes about cell activity</w:t>
      </w:r>
      <w:r>
        <w:rPr>
          <w:rFonts w:hint="default"/>
          <w:color w:val="auto"/>
          <w:sz w:val="22"/>
          <w:szCs w:val="22"/>
          <w:lang w:val="en-US"/>
        </w:rPr>
        <w:t>[9]</w:t>
      </w:r>
      <w:r>
        <w:rPr>
          <w:color w:val="auto"/>
          <w:sz w:val="22"/>
          <w:szCs w:val="22"/>
        </w:rPr>
        <w:t xml:space="preserve">. Such inter-node coordination ensures, for example, that if a cell plans to enter a micro-sleep (no transmissions), neighboring cells or a controlling node are aware and UE DRX can be synchronized, improving efficiency without losing connectivity. </w:t>
      </w:r>
      <w:r>
        <w:rPr>
          <w:rFonts w:hint="default"/>
          <w:color w:val="auto"/>
          <w:sz w:val="22"/>
          <w:szCs w:val="22"/>
          <w:lang w:val="en-US"/>
        </w:rPr>
        <w:t>In Release 19, on-demand trans</w:t>
      </w:r>
      <w:r>
        <w:rPr>
          <w:rFonts w:hint="eastAsia"/>
          <w:color w:val="auto"/>
          <w:sz w:val="22"/>
          <w:szCs w:val="22"/>
          <w:lang w:val="en-US" w:eastAsia="zh-CN"/>
        </w:rPr>
        <w:t>mission</w:t>
      </w:r>
      <w:r>
        <w:rPr>
          <w:rFonts w:hint="default"/>
          <w:color w:val="auto"/>
          <w:sz w:val="22"/>
          <w:szCs w:val="22"/>
          <w:lang w:val="en-US" w:eastAsia="zh-CN"/>
        </w:rPr>
        <w:t xml:space="preserve"> has been discussed for NES mechanisms, including on-demand SSB under RRC CONNECTED state and on-demand SIB 1 under RRC IDLE state. Some adaptation mechanisms, for example, legacy SSB/Paging/PRACH, were also be specified for NES.</w:t>
      </w:r>
    </w:p>
    <w:p w14:paraId="79C8E3C7">
      <w:pPr>
        <w:pStyle w:val="17"/>
        <w:numPr>
          <w:ilvl w:val="0"/>
          <w:numId w:val="12"/>
        </w:numPr>
        <w:ind w:left="420" w:leftChars="0" w:hanging="420" w:firstLineChars="0"/>
        <w:rPr>
          <w:color w:val="auto"/>
          <w:sz w:val="22"/>
          <w:szCs w:val="22"/>
        </w:rPr>
      </w:pPr>
      <w:r>
        <w:rPr>
          <w:b/>
          <w:bCs/>
          <w:color w:val="auto"/>
          <w:sz w:val="22"/>
          <w:szCs w:val="22"/>
        </w:rPr>
        <w:t>Frequency-domain techniques:</w:t>
      </w:r>
      <w:r>
        <w:rPr>
          <w:color w:val="auto"/>
          <w:sz w:val="22"/>
          <w:szCs w:val="22"/>
        </w:rPr>
        <w:t xml:space="preserve"> One studied idea is making certain carriers or bandwidth parts</w:t>
      </w:r>
      <w:r>
        <w:rPr>
          <w:rFonts w:hint="default" w:ascii="Times New Roman" w:hAnsi="Times New Roman" w:cs="Times New Roman"/>
          <w:b w:val="0"/>
          <w:bCs w:val="0"/>
          <w:color w:val="auto"/>
          <w:sz w:val="22"/>
          <w:szCs w:val="22"/>
        </w:rPr>
        <w:t xml:space="preserve"> SSB-less</w:t>
      </w:r>
      <w:r>
        <w:rPr>
          <w:color w:val="auto"/>
          <w:sz w:val="22"/>
          <w:szCs w:val="22"/>
        </w:rPr>
        <w:t xml:space="preserve"> during low load. For instance, in Carrier Aggregation, a secondary cell could stop transmitting its Synchronization Signal Block and other always-on channels, relying on the primary cell’s signals for system information and timing</w:t>
      </w:r>
      <w:r>
        <w:rPr>
          <w:color w:val="auto"/>
          <w:sz w:val="22"/>
          <w:szCs w:val="22"/>
        </w:rPr>
        <w:fldChar w:fldCharType="begin"/>
      </w:r>
      <w:r>
        <w:rPr>
          <w:color w:val="auto"/>
          <w:sz w:val="22"/>
          <w:szCs w:val="22"/>
        </w:rPr>
        <w:instrText xml:space="preserve"> HYPERLINK "https://arxiv.org/pdf/2402.11993#:~:text=connected%20mode%20DRX,transceiver%20chains%20has%20been%20identified" \h </w:instrText>
      </w:r>
      <w:r>
        <w:rPr>
          <w:color w:val="auto"/>
          <w:sz w:val="22"/>
          <w:szCs w:val="22"/>
        </w:rPr>
        <w:fldChar w:fldCharType="separate"/>
      </w:r>
      <w:r>
        <w:rPr>
          <w:rStyle w:val="32"/>
          <w:color w:val="auto"/>
          <w:sz w:val="22"/>
          <w:szCs w:val="22"/>
        </w:rPr>
        <w:fldChar w:fldCharType="end"/>
      </w:r>
      <w:r>
        <w:rPr>
          <w:color w:val="auto"/>
          <w:sz w:val="22"/>
          <w:szCs w:val="22"/>
        </w:rPr>
        <w:t>. This means the secondary carrier can stay inactive (no broadcasts) until data is needed, saving energy.</w:t>
      </w:r>
    </w:p>
    <w:p w14:paraId="7DC07CE7">
      <w:pPr>
        <w:pStyle w:val="17"/>
        <w:numPr>
          <w:ilvl w:val="0"/>
          <w:numId w:val="12"/>
        </w:numPr>
        <w:ind w:left="420" w:leftChars="0" w:hanging="420" w:firstLineChars="0"/>
        <w:rPr>
          <w:color w:val="auto"/>
          <w:sz w:val="22"/>
          <w:szCs w:val="22"/>
        </w:rPr>
      </w:pPr>
      <w:r>
        <w:rPr>
          <w:b/>
          <w:bCs/>
          <w:color w:val="auto"/>
          <w:sz w:val="22"/>
          <w:szCs w:val="22"/>
        </w:rPr>
        <w:t>Spatial-domain techniques:</w:t>
      </w:r>
      <w:r>
        <w:rPr>
          <w:color w:val="auto"/>
          <w:sz w:val="22"/>
          <w:szCs w:val="22"/>
        </w:rPr>
        <w:t xml:space="preserve"> Adaptation of antenna usage, such as turning off some transmit panels or reducing the number of active MIMO layers when traffic is light</w:t>
      </w:r>
      <w:r>
        <w:rPr>
          <w:rFonts w:hint="default"/>
          <w:color w:val="auto"/>
          <w:sz w:val="22"/>
          <w:szCs w:val="22"/>
          <w:lang w:val="en-US"/>
        </w:rPr>
        <w:t>[8]</w:t>
      </w:r>
      <w:r>
        <w:rPr>
          <w:color w:val="auto"/>
          <w:sz w:val="22"/>
          <w:szCs w:val="22"/>
          <w:u w:val="none"/>
        </w:rPr>
        <w:fldChar w:fldCharType="begin"/>
      </w:r>
      <w:r>
        <w:rPr>
          <w:color w:val="auto"/>
          <w:sz w:val="22"/>
          <w:szCs w:val="22"/>
          <w:u w:val="none"/>
        </w:rPr>
        <w:instrText xml:space="preserve"> HYPERLINK "https://arxiv.org/pdf/2402.11993#:~:text=In%20the%20spatial%20domain%2C%20adaptation,transmit%20power%20to%20save" \h </w:instrText>
      </w:r>
      <w:r>
        <w:rPr>
          <w:color w:val="auto"/>
          <w:sz w:val="22"/>
          <w:szCs w:val="22"/>
          <w:u w:val="none"/>
        </w:rPr>
        <w:fldChar w:fldCharType="separate"/>
      </w:r>
      <w:r>
        <w:rPr>
          <w:rStyle w:val="32"/>
          <w:color w:val="auto"/>
          <w:sz w:val="22"/>
          <w:szCs w:val="22"/>
          <w:u w:val="none"/>
        </w:rPr>
        <w:t>[</w:t>
      </w:r>
      <w:r>
        <w:rPr>
          <w:rStyle w:val="32"/>
          <w:rFonts w:hint="default"/>
          <w:color w:val="auto"/>
          <w:sz w:val="22"/>
          <w:szCs w:val="22"/>
          <w:u w:val="none"/>
          <w:lang w:val="en-US"/>
        </w:rPr>
        <w:t>9</w:t>
      </w:r>
      <w:r>
        <w:rPr>
          <w:rStyle w:val="32"/>
          <w:color w:val="auto"/>
          <w:sz w:val="22"/>
          <w:szCs w:val="22"/>
          <w:u w:val="none"/>
        </w:rPr>
        <w:t>]</w:t>
      </w:r>
      <w:r>
        <w:rPr>
          <w:rStyle w:val="32"/>
          <w:color w:val="auto"/>
          <w:sz w:val="22"/>
          <w:szCs w:val="22"/>
          <w:u w:val="none"/>
        </w:rPr>
        <w:fldChar w:fldCharType="end"/>
      </w:r>
      <w:r>
        <w:rPr>
          <w:color w:val="auto"/>
          <w:sz w:val="22"/>
          <w:szCs w:val="22"/>
        </w:rPr>
        <w:t xml:space="preserve">. The standard is introducing signaling so that UEs can provide channel state feedback that accounts for different numbers of active antennas, enabling the gNB to </w:t>
      </w:r>
      <w:r>
        <w:rPr>
          <w:b w:val="0"/>
          <w:bCs w:val="0"/>
          <w:color w:val="auto"/>
          <w:sz w:val="22"/>
          <w:szCs w:val="22"/>
        </w:rPr>
        <w:t xml:space="preserve">dynamically shut down RF chains </w:t>
      </w:r>
      <w:r>
        <w:rPr>
          <w:color w:val="auto"/>
          <w:sz w:val="22"/>
          <w:szCs w:val="22"/>
        </w:rPr>
        <w:t xml:space="preserve">to conserve power. </w:t>
      </w:r>
    </w:p>
    <w:p w14:paraId="65271ED0">
      <w:pPr>
        <w:pStyle w:val="17"/>
        <w:numPr>
          <w:ilvl w:val="0"/>
          <w:numId w:val="12"/>
        </w:numPr>
        <w:ind w:left="420" w:leftChars="0" w:hanging="420" w:firstLineChars="0"/>
        <w:rPr>
          <w:color w:val="auto"/>
          <w:sz w:val="22"/>
          <w:szCs w:val="22"/>
        </w:rPr>
      </w:pPr>
      <w:r>
        <w:rPr>
          <w:b/>
          <w:bCs/>
          <w:color w:val="auto"/>
          <w:sz w:val="22"/>
          <w:szCs w:val="22"/>
        </w:rPr>
        <w:t>Power-domain techniques:</w:t>
      </w:r>
      <w:r>
        <w:rPr>
          <w:color w:val="auto"/>
          <w:sz w:val="22"/>
          <w:szCs w:val="22"/>
        </w:rPr>
        <w:t xml:space="preserve"> Dynamic transmit power scaling – e.g. lowering PDSCH power when full power is not needed – with proper signaling to UEs. Release 18 adds an indication of the power difference between reference signals (like CSI-RS) and actual data channels, so that the UE’s channel quality measurements remain accurate if the BS lowers data power for energy saving</w:t>
      </w:r>
      <w:r>
        <w:rPr>
          <w:color w:val="auto"/>
          <w:sz w:val="22"/>
          <w:szCs w:val="22"/>
        </w:rPr>
        <w:fldChar w:fldCharType="begin"/>
      </w:r>
      <w:r>
        <w:rPr>
          <w:color w:val="auto"/>
          <w:sz w:val="22"/>
          <w:szCs w:val="22"/>
        </w:rPr>
        <w:instrText xml:space="preserve"> HYPERLINK "https://arxiv.org/pdf/2402.11993#:~:text=In%20the%20power%20domain%2C%20the,in%20a%20limited%20area%2C%20cell" \h </w:instrText>
      </w:r>
      <w:r>
        <w:rPr>
          <w:color w:val="auto"/>
          <w:sz w:val="22"/>
          <w:szCs w:val="22"/>
        </w:rPr>
        <w:fldChar w:fldCharType="separate"/>
      </w:r>
      <w:r>
        <w:rPr>
          <w:rStyle w:val="32"/>
          <w:color w:val="auto"/>
          <w:sz w:val="22"/>
          <w:szCs w:val="22"/>
        </w:rPr>
        <w:fldChar w:fldCharType="end"/>
      </w:r>
      <w:r>
        <w:rPr>
          <w:color w:val="auto"/>
          <w:sz w:val="22"/>
          <w:szCs w:val="22"/>
        </w:rPr>
        <w:t>. Additionally, 5G-Advanced includes features like conditional sleep modes for cells (micro sleep, deep sleep with longer deactivation), restricted paging areas (to concentrate paging in certain cells while others sleep), and even conditional handover decisions that prefer cells not in energy-saving mode</w:t>
      </w:r>
      <w:r>
        <w:rPr>
          <w:color w:val="auto"/>
          <w:sz w:val="22"/>
          <w:szCs w:val="22"/>
        </w:rPr>
        <w:fldChar w:fldCharType="begin"/>
      </w:r>
      <w:r>
        <w:rPr>
          <w:color w:val="auto"/>
          <w:sz w:val="22"/>
          <w:szCs w:val="22"/>
        </w:rPr>
        <w:instrText xml:space="preserve"> HYPERLINK "https://arxiv.org/pdf/2402.11993#:~:text=and%20CSI%20reference%20signal%20%28CSI,RAN%20in%20Release%2018" \h </w:instrText>
      </w:r>
      <w:r>
        <w:rPr>
          <w:color w:val="auto"/>
          <w:sz w:val="22"/>
          <w:szCs w:val="22"/>
        </w:rPr>
        <w:fldChar w:fldCharType="separate"/>
      </w:r>
      <w:r>
        <w:rPr>
          <w:rStyle w:val="32"/>
          <w:color w:val="auto"/>
          <w:sz w:val="22"/>
          <w:szCs w:val="22"/>
        </w:rPr>
        <w:fldChar w:fldCharType="end"/>
      </w:r>
      <w:r>
        <w:rPr>
          <w:color w:val="auto"/>
          <w:sz w:val="22"/>
          <w:szCs w:val="22"/>
        </w:rPr>
        <w:t>. Many of these concepts are now being standardized as part of Release 18 work items, laying a foundation for more ag</w:t>
      </w:r>
      <w:r>
        <w:rPr>
          <w:rFonts w:hint="default" w:ascii="Times New Roman" w:hAnsi="Times New Roman" w:cs="Times New Roman"/>
          <w:b w:val="0"/>
          <w:bCs w:val="0"/>
          <w:color w:val="auto"/>
          <w:sz w:val="22"/>
          <w:szCs w:val="22"/>
        </w:rPr>
        <w:t>gressive energy saving in 6G. In summary, by the end of 5G era the toolkit for energy efficiency spans both device-centric mechanisms (DRX, RRC Inactive, etc.) and network-centric mechanisms (cell switch-off, broadcast channel muting, etc.), as well as better coordination between network and UEs on when to be awake or asleep.</w:t>
      </w:r>
    </w:p>
    <w:p w14:paraId="07F22B72">
      <w:pPr>
        <w:pStyle w:val="17"/>
        <w:rPr>
          <w:rFonts w:hint="default" w:ascii="Times New Roman Bold" w:hAnsi="Times New Roman Bold" w:cs="Times New Roman Bold"/>
          <w:b/>
          <w:bCs/>
          <w:i/>
          <w:iCs/>
          <w:color w:val="auto"/>
          <w:sz w:val="22"/>
          <w:szCs w:val="22"/>
          <w:lang w:val="en-US"/>
        </w:rPr>
      </w:pPr>
      <w:r>
        <w:rPr>
          <w:rFonts w:hint="default" w:ascii="Times New Roman Bold" w:hAnsi="Times New Roman Bold" w:cs="Times New Roman Bold"/>
          <w:b/>
          <w:bCs/>
          <w:i/>
          <w:iCs/>
          <w:color w:val="auto"/>
          <w:sz w:val="22"/>
          <w:szCs w:val="22"/>
          <w:lang w:val="en-US"/>
        </w:rPr>
        <w:t>Observation 2: At least four types of technologies have been specified for energy saving in NR/NRU, including</w:t>
      </w:r>
    </w:p>
    <w:p w14:paraId="6A4B28CF">
      <w:pPr>
        <w:pStyle w:val="17"/>
        <w:numPr>
          <w:ilvl w:val="0"/>
          <w:numId w:val="12"/>
        </w:numPr>
        <w:ind w:left="420" w:leftChars="0" w:hanging="420" w:firstLineChars="0"/>
        <w:rPr>
          <w:rFonts w:hint="default" w:ascii="Times New Roman Bold" w:hAnsi="Times New Roman Bold" w:cs="Times New Roman Bold"/>
          <w:b/>
          <w:bCs/>
          <w:i/>
          <w:iCs/>
          <w:color w:val="auto"/>
          <w:sz w:val="22"/>
          <w:szCs w:val="22"/>
          <w:lang w:val="en-US"/>
        </w:rPr>
      </w:pPr>
      <w:r>
        <w:rPr>
          <w:rFonts w:hint="default" w:ascii="Times New Roman Bold" w:hAnsi="Times New Roman Bold" w:cs="Times New Roman Bold"/>
          <w:b/>
          <w:bCs/>
          <w:i/>
          <w:iCs/>
          <w:color w:val="auto"/>
          <w:sz w:val="22"/>
          <w:szCs w:val="22"/>
          <w:lang w:val="en-US"/>
        </w:rPr>
        <w:t>BWP adaptive switching to consider the requirement of data rata/capacity/throughput and power savings</w:t>
      </w:r>
    </w:p>
    <w:p w14:paraId="33271BD9">
      <w:pPr>
        <w:pStyle w:val="17"/>
        <w:numPr>
          <w:ilvl w:val="0"/>
          <w:numId w:val="12"/>
        </w:numPr>
        <w:ind w:left="420" w:leftChars="0" w:hanging="420" w:firstLineChars="0"/>
        <w:rPr>
          <w:rFonts w:hint="default" w:ascii="Times New Roman Bold" w:hAnsi="Times New Roman Bold" w:cs="Times New Roman Bold"/>
          <w:b/>
          <w:bCs/>
          <w:i/>
          <w:iCs/>
          <w:color w:val="auto"/>
          <w:sz w:val="22"/>
          <w:szCs w:val="22"/>
          <w:lang w:val="en-US"/>
        </w:rPr>
      </w:pPr>
      <w:r>
        <w:rPr>
          <w:b/>
          <w:bCs/>
          <w:i/>
          <w:iCs/>
          <w:color w:val="auto"/>
          <w:sz w:val="22"/>
          <w:szCs w:val="22"/>
        </w:rPr>
        <w:t>UE Power Saving Features in NR Rel 16–17</w:t>
      </w:r>
      <w:r>
        <w:rPr>
          <w:rFonts w:hint="default"/>
          <w:b/>
          <w:bCs/>
          <w:i/>
          <w:iCs/>
          <w:color w:val="auto"/>
          <w:sz w:val="22"/>
          <w:szCs w:val="22"/>
          <w:lang w:val="en-US"/>
        </w:rPr>
        <w:t xml:space="preserve">, including new RRC state considerations (e.g., inactive state), </w:t>
      </w:r>
      <w:r>
        <w:rPr>
          <w:rFonts w:hint="default" w:eastAsia="宋体"/>
          <w:b/>
          <w:bCs/>
          <w:i/>
          <w:iCs/>
          <w:color w:val="auto"/>
          <w:sz w:val="22"/>
          <w:szCs w:val="22"/>
          <w:lang w:val="en-US"/>
        </w:rPr>
        <w:t>WUS</w:t>
      </w:r>
      <w:r>
        <w:rPr>
          <w:rFonts w:hint="eastAsia" w:eastAsia="宋体"/>
          <w:b/>
          <w:bCs/>
          <w:i/>
          <w:iCs/>
          <w:color w:val="auto"/>
          <w:sz w:val="22"/>
          <w:szCs w:val="22"/>
          <w:lang w:val="en-US" w:eastAsia="zh-CN"/>
        </w:rPr>
        <w:t xml:space="preserve"> </w:t>
      </w:r>
      <w:r>
        <w:rPr>
          <w:rFonts w:hint="default" w:eastAsia="宋体"/>
          <w:b/>
          <w:bCs/>
          <w:i/>
          <w:iCs/>
          <w:color w:val="auto"/>
          <w:sz w:val="22"/>
          <w:szCs w:val="22"/>
          <w:lang w:val="en-US"/>
        </w:rPr>
        <w:t xml:space="preserve">(via a special DCI) </w:t>
      </w:r>
      <w:r>
        <w:rPr>
          <w:rFonts w:hint="default"/>
          <w:b/>
          <w:bCs/>
          <w:i/>
          <w:iCs/>
          <w:color w:val="auto"/>
          <w:sz w:val="22"/>
          <w:szCs w:val="22"/>
          <w:lang w:val="en-US"/>
        </w:rPr>
        <w:t>and LP-WUS design, connected mode enhancements, MICO, etc.</w:t>
      </w:r>
    </w:p>
    <w:p w14:paraId="5D648ADC">
      <w:pPr>
        <w:pStyle w:val="17"/>
        <w:numPr>
          <w:ilvl w:val="0"/>
          <w:numId w:val="12"/>
        </w:numPr>
        <w:ind w:left="420" w:leftChars="0" w:hanging="420" w:firstLineChars="0"/>
        <w:rPr>
          <w:rFonts w:hint="default" w:ascii="Times New Roman Bold" w:hAnsi="Times New Roman Bold" w:cs="Times New Roman Bold"/>
          <w:b/>
          <w:bCs/>
          <w:i/>
          <w:iCs/>
          <w:color w:val="auto"/>
          <w:sz w:val="22"/>
          <w:szCs w:val="22"/>
          <w:lang w:val="en-US"/>
        </w:rPr>
      </w:pPr>
      <w:r>
        <w:rPr>
          <w:rFonts w:hint="default" w:ascii="Times New Roman Bold" w:hAnsi="Times New Roman Bold" w:cs="Times New Roman Bold"/>
          <w:b/>
          <w:bCs/>
          <w:i/>
          <w:iCs/>
          <w:color w:val="auto"/>
          <w:sz w:val="22"/>
          <w:szCs w:val="22"/>
          <w:lang w:val="en-US"/>
        </w:rPr>
        <w:t>RedCap and eRedCap considerations</w:t>
      </w:r>
    </w:p>
    <w:p w14:paraId="6A1A4432">
      <w:pPr>
        <w:pStyle w:val="17"/>
        <w:numPr>
          <w:ilvl w:val="0"/>
          <w:numId w:val="12"/>
        </w:numPr>
        <w:ind w:left="420" w:leftChars="0" w:hanging="420" w:firstLineChars="0"/>
        <w:rPr>
          <w:rFonts w:hint="default" w:ascii="Times New Roman Bold" w:hAnsi="Times New Roman Bold" w:cs="Times New Roman Bold"/>
          <w:b/>
          <w:bCs/>
          <w:i/>
          <w:iCs/>
          <w:color w:val="auto"/>
          <w:sz w:val="22"/>
          <w:szCs w:val="22"/>
          <w:lang w:val="en-US"/>
        </w:rPr>
      </w:pPr>
      <w:r>
        <w:rPr>
          <w:rFonts w:hint="default" w:ascii="Times New Roman Bold" w:hAnsi="Times New Roman Bold" w:cs="Times New Roman Bold"/>
          <w:b/>
          <w:bCs/>
          <w:i/>
          <w:iCs/>
          <w:color w:val="auto"/>
          <w:sz w:val="22"/>
          <w:szCs w:val="22"/>
          <w:lang w:val="en-US"/>
        </w:rPr>
        <w:t xml:space="preserve">NES considerations, including on-demand transmission, common signal adaptation, frequency-domain/spatial-domain/power-domain technologies, etc. </w:t>
      </w:r>
    </w:p>
    <w:p w14:paraId="43A2BF2D">
      <w:pPr>
        <w:pStyle w:val="3"/>
        <w:rPr>
          <w:rFonts w:hint="default" w:eastAsia="宋体"/>
          <w:lang w:val="en-US"/>
        </w:rPr>
      </w:pPr>
      <w:r>
        <w:rPr>
          <w:rFonts w:hint="default" w:eastAsia="宋体"/>
          <w:lang w:val="en-US"/>
        </w:rPr>
        <w:t xml:space="preserve"> Conclusion of key energy-saving features across LTE, IoT extensions, and 5G</w:t>
      </w:r>
    </w:p>
    <w:p w14:paraId="7B2609F4">
      <w:pPr>
        <w:pStyle w:val="17"/>
        <w:numPr>
          <w:ilvl w:val="0"/>
          <w:numId w:val="0"/>
        </w:numPr>
        <w:ind w:leftChars="0"/>
        <w:rPr>
          <w:rFonts w:hint="default" w:eastAsia="宋体"/>
          <w:color w:val="auto"/>
          <w:sz w:val="22"/>
          <w:szCs w:val="22"/>
          <w:lang w:val="en-US" w:eastAsia="zh-CN"/>
        </w:rPr>
      </w:pPr>
      <w:r>
        <w:rPr>
          <w:rFonts w:hint="eastAsia"/>
          <w:color w:val="auto"/>
          <w:sz w:val="22"/>
          <w:szCs w:val="22"/>
          <w:lang w:val="en-US" w:eastAsia="zh-CN"/>
        </w:rPr>
        <w:t>Based on</w:t>
      </w:r>
      <w:r>
        <w:rPr>
          <w:rFonts w:hint="default"/>
          <w:color w:val="auto"/>
          <w:sz w:val="22"/>
          <w:szCs w:val="22"/>
          <w:lang w:val="en-US" w:eastAsia="zh-CN"/>
        </w:rPr>
        <w:t xml:space="preserve"> observation 1 and observation 2 and analysis above, </w:t>
      </w:r>
      <w:r>
        <w:rPr>
          <w:rFonts w:hint="default" w:ascii="Times New Roman" w:hAnsi="Times New Roman" w:cs="Times New Roman"/>
          <w:i w:val="0"/>
          <w:iCs w:val="0"/>
          <w:color w:val="auto"/>
          <w:sz w:val="22"/>
          <w:szCs w:val="22"/>
          <w:lang w:val="en-US" w:eastAsia="zh-CN"/>
        </w:rPr>
        <w:t xml:space="preserve">we </w:t>
      </w:r>
      <w:r>
        <w:rPr>
          <w:rFonts w:hint="default" w:ascii="Times New Roman" w:hAnsi="Times New Roman" w:cs="Times New Roman"/>
          <w:i w:val="0"/>
          <w:iCs w:val="0"/>
          <w:color w:val="auto"/>
          <w:sz w:val="22"/>
          <w:szCs w:val="22"/>
        </w:rPr>
        <w:t>summarizes key energy-saving features across LTE, IoT extensions, and 5G</w:t>
      </w:r>
      <w:r>
        <w:rPr>
          <w:rFonts w:hint="default" w:ascii="Times New Roman" w:hAnsi="Times New Roman" w:cs="Times New Roman"/>
          <w:i w:val="0"/>
          <w:iCs w:val="0"/>
          <w:color w:val="auto"/>
          <w:sz w:val="22"/>
          <w:szCs w:val="22"/>
          <w:lang w:val="en-US"/>
        </w:rPr>
        <w:t xml:space="preserve"> as below</w:t>
      </w:r>
      <w:r>
        <w:rPr>
          <w:rFonts w:hint="default" w:cs="Times New Roman"/>
          <w:i w:val="0"/>
          <w:iCs w:val="0"/>
          <w:color w:val="auto"/>
          <w:sz w:val="22"/>
          <w:szCs w:val="22"/>
          <w:lang w:val="en-US"/>
        </w:rPr>
        <w:t xml:space="preserve"> Table 1</w:t>
      </w:r>
      <w:r>
        <w:rPr>
          <w:rFonts w:hint="default" w:ascii="Times New Roman" w:hAnsi="Times New Roman" w:cs="Times New Roman"/>
          <w:i w:val="0"/>
          <w:iCs w:val="0"/>
          <w:color w:val="auto"/>
          <w:sz w:val="22"/>
          <w:szCs w:val="22"/>
          <w:lang w:val="en-US"/>
        </w:rPr>
        <w:t>.</w:t>
      </w:r>
      <w:r>
        <w:rPr>
          <w:rFonts w:hint="default" w:ascii="Times New Roman" w:hAnsi="Times New Roman" w:cs="Times New Roman"/>
          <w:i w:val="0"/>
          <w:iCs w:val="0"/>
          <w:color w:val="auto"/>
          <w:sz w:val="22"/>
          <w:szCs w:val="22"/>
          <w:lang w:val="en-US" w:eastAsia="zh-CN"/>
        </w:rPr>
        <w:t xml:space="preserve"> </w:t>
      </w:r>
    </w:p>
    <w:p w14:paraId="17C8107D">
      <w:pPr>
        <w:pStyle w:val="17"/>
        <w:jc w:val="center"/>
        <w:rPr>
          <w:color w:val="auto"/>
        </w:rPr>
      </w:pPr>
      <w:r>
        <w:rPr>
          <w:i/>
          <w:iCs/>
          <w:color w:val="auto"/>
        </w:rPr>
        <w:t>Table 1 below summarizes key energy-saving features across LTE, IoT extensions, and 5G</w:t>
      </w:r>
    </w:p>
    <w:tbl>
      <w:tblPr>
        <w:tblStyle w:val="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1272"/>
        <w:gridCol w:w="1695"/>
        <w:gridCol w:w="4198"/>
      </w:tblGrid>
      <w:tr w14:paraId="67BD8D8C">
        <w:tc>
          <w:tcPr>
            <w:tcBorders>
              <w:tl2br w:val="nil"/>
              <w:tr2bl w:val="nil"/>
            </w:tcBorders>
            <w:vAlign w:val="top"/>
          </w:tcPr>
          <w:p w14:paraId="59B7C528">
            <w:pPr>
              <w:pStyle w:val="84"/>
              <w:rPr>
                <w:color w:val="auto"/>
              </w:rPr>
            </w:pPr>
            <w:r>
              <w:rPr>
                <w:b/>
                <w:bCs/>
                <w:color w:val="auto"/>
              </w:rPr>
              <w:t>Feature/Technique</w:t>
            </w:r>
          </w:p>
        </w:tc>
        <w:tc>
          <w:tcPr>
            <w:tcW w:w="1272" w:type="dxa"/>
            <w:tcBorders>
              <w:tl2br w:val="nil"/>
              <w:tr2bl w:val="nil"/>
            </w:tcBorders>
            <w:vAlign w:val="top"/>
          </w:tcPr>
          <w:p w14:paraId="62D72D47">
            <w:pPr>
              <w:pStyle w:val="84"/>
              <w:rPr>
                <w:color w:val="auto"/>
              </w:rPr>
            </w:pPr>
            <w:r>
              <w:rPr>
                <w:b/>
                <w:bCs/>
                <w:color w:val="auto"/>
              </w:rPr>
              <w:t>3GPP Release</w:t>
            </w:r>
          </w:p>
        </w:tc>
        <w:tc>
          <w:tcPr>
            <w:tcW w:w="1468" w:type="dxa"/>
            <w:tcBorders>
              <w:tl2br w:val="nil"/>
              <w:tr2bl w:val="nil"/>
            </w:tcBorders>
            <w:vAlign w:val="top"/>
          </w:tcPr>
          <w:p w14:paraId="60475023">
            <w:pPr>
              <w:pStyle w:val="84"/>
              <w:rPr>
                <w:color w:val="auto"/>
              </w:rPr>
            </w:pPr>
            <w:r>
              <w:rPr>
                <w:b/>
                <w:bCs/>
                <w:color w:val="auto"/>
              </w:rPr>
              <w:t>Applies To</w:t>
            </w:r>
          </w:p>
        </w:tc>
        <w:tc>
          <w:tcPr>
            <w:tcBorders>
              <w:tl2br w:val="nil"/>
              <w:tr2bl w:val="nil"/>
            </w:tcBorders>
            <w:vAlign w:val="top"/>
          </w:tcPr>
          <w:p w14:paraId="3CD1AB4D">
            <w:pPr>
              <w:pStyle w:val="84"/>
              <w:rPr>
                <w:color w:val="auto"/>
              </w:rPr>
            </w:pPr>
            <w:r>
              <w:rPr>
                <w:b/>
                <w:bCs/>
                <w:color w:val="auto"/>
              </w:rPr>
              <w:t>Brief Description</w:t>
            </w:r>
          </w:p>
        </w:tc>
      </w:tr>
      <w:tr w14:paraId="58EFDA42">
        <w:tc>
          <w:tcPr>
            <w:tcBorders>
              <w:tl2br w:val="nil"/>
              <w:tr2bl w:val="nil"/>
            </w:tcBorders>
          </w:tcPr>
          <w:p w14:paraId="4A399398">
            <w:pPr>
              <w:pStyle w:val="84"/>
              <w:rPr>
                <w:color w:val="auto"/>
              </w:rPr>
            </w:pPr>
            <w:r>
              <w:rPr>
                <w:b/>
                <w:bCs/>
                <w:color w:val="auto"/>
              </w:rPr>
              <w:t>Connected DRX (C-DRX)</w:t>
            </w:r>
          </w:p>
        </w:tc>
        <w:tc>
          <w:tcPr>
            <w:tcW w:w="1272" w:type="dxa"/>
            <w:tcBorders>
              <w:tl2br w:val="nil"/>
              <w:tr2bl w:val="nil"/>
            </w:tcBorders>
          </w:tcPr>
          <w:p w14:paraId="7AD09DBB">
            <w:pPr>
              <w:pStyle w:val="84"/>
              <w:rPr>
                <w:color w:val="auto"/>
              </w:rPr>
            </w:pPr>
            <w:r>
              <w:rPr>
                <w:color w:val="auto"/>
              </w:rPr>
              <w:t>LTE Rel-8 onward</w:t>
            </w:r>
          </w:p>
        </w:tc>
        <w:tc>
          <w:tcPr>
            <w:tcW w:w="1468" w:type="dxa"/>
            <w:tcBorders>
              <w:tl2br w:val="nil"/>
              <w:tr2bl w:val="nil"/>
            </w:tcBorders>
          </w:tcPr>
          <w:p w14:paraId="7EF1AAE1">
            <w:pPr>
              <w:pStyle w:val="84"/>
              <w:rPr>
                <w:color w:val="auto"/>
              </w:rPr>
            </w:pPr>
            <w:r>
              <w:rPr>
                <w:color w:val="auto"/>
              </w:rPr>
              <w:t>UE (handsets)</w:t>
            </w:r>
          </w:p>
        </w:tc>
        <w:tc>
          <w:tcPr>
            <w:tcBorders>
              <w:tl2br w:val="nil"/>
              <w:tr2bl w:val="nil"/>
            </w:tcBorders>
          </w:tcPr>
          <w:p w14:paraId="4F3B9EDD">
            <w:pPr>
              <w:pStyle w:val="84"/>
              <w:rPr>
                <w:color w:val="auto"/>
              </w:rPr>
            </w:pPr>
            <w:r>
              <w:rPr>
                <w:color w:val="auto"/>
              </w:rPr>
              <w:t>UE in connected mode sleeps between active data bursts; periodic wake to monitor downlink, reducing power consumption</w:t>
            </w:r>
            <w:r>
              <w:rPr>
                <w:color w:val="auto"/>
                <w:u w:val="none"/>
              </w:rPr>
              <w:fldChar w:fldCharType="begin"/>
            </w:r>
            <w:r>
              <w:rPr>
                <w:color w:val="auto"/>
                <w:u w:val="none"/>
              </w:rPr>
              <w:instrText xml:space="preserve"> HYPERLINK "https://www.arib.or.jp/english/html/overview/doc/STD-T104v3_10/5_Appendix/Rel12/36/36300-c60.pdf#:~:text=,DRX" \h </w:instrText>
            </w:r>
            <w:r>
              <w:rPr>
                <w:color w:val="auto"/>
                <w:u w:val="none"/>
              </w:rPr>
              <w:fldChar w:fldCharType="separate"/>
            </w:r>
            <w:r>
              <w:rPr>
                <w:rStyle w:val="32"/>
                <w:color w:val="auto"/>
                <w:u w:val="none"/>
              </w:rPr>
              <w:t>[11]</w:t>
            </w:r>
            <w:r>
              <w:rPr>
                <w:rStyle w:val="32"/>
                <w:color w:val="auto"/>
                <w:u w:val="none"/>
              </w:rPr>
              <w:fldChar w:fldCharType="end"/>
            </w:r>
            <w:r>
              <w:rPr>
                <w:color w:val="auto"/>
              </w:rPr>
              <w:t>.</w:t>
            </w:r>
          </w:p>
        </w:tc>
      </w:tr>
      <w:tr w14:paraId="45D3745C">
        <w:tc>
          <w:tcPr>
            <w:tcBorders>
              <w:tl2br w:val="nil"/>
              <w:tr2bl w:val="nil"/>
            </w:tcBorders>
          </w:tcPr>
          <w:p w14:paraId="31DD0CB8">
            <w:pPr>
              <w:pStyle w:val="84"/>
              <w:rPr>
                <w:color w:val="auto"/>
              </w:rPr>
            </w:pPr>
            <w:r>
              <w:rPr>
                <w:b/>
                <w:bCs/>
                <w:color w:val="auto"/>
              </w:rPr>
              <w:t>Idle DRX (Paging)</w:t>
            </w:r>
          </w:p>
        </w:tc>
        <w:tc>
          <w:tcPr>
            <w:tcW w:w="1272" w:type="dxa"/>
            <w:tcBorders>
              <w:tl2br w:val="nil"/>
              <w:tr2bl w:val="nil"/>
            </w:tcBorders>
          </w:tcPr>
          <w:p w14:paraId="1C53213F">
            <w:pPr>
              <w:pStyle w:val="84"/>
              <w:rPr>
                <w:color w:val="auto"/>
              </w:rPr>
            </w:pPr>
            <w:r>
              <w:rPr>
                <w:color w:val="auto"/>
              </w:rPr>
              <w:t>2G GSM to LTE (various)</w:t>
            </w:r>
          </w:p>
        </w:tc>
        <w:tc>
          <w:tcPr>
            <w:tcW w:w="1468" w:type="dxa"/>
            <w:tcBorders>
              <w:tl2br w:val="nil"/>
              <w:tr2bl w:val="nil"/>
            </w:tcBorders>
          </w:tcPr>
          <w:p w14:paraId="4D317BCB">
            <w:pPr>
              <w:pStyle w:val="84"/>
              <w:rPr>
                <w:color w:val="auto"/>
              </w:rPr>
            </w:pPr>
            <w:r>
              <w:rPr>
                <w:color w:val="auto"/>
              </w:rPr>
              <w:t>UE (idle mode)</w:t>
            </w:r>
          </w:p>
        </w:tc>
        <w:tc>
          <w:tcPr>
            <w:tcBorders>
              <w:tl2br w:val="nil"/>
              <w:tr2bl w:val="nil"/>
            </w:tcBorders>
          </w:tcPr>
          <w:p w14:paraId="71FD5517">
            <w:pPr>
              <w:pStyle w:val="84"/>
              <w:rPr>
                <w:color w:val="auto"/>
              </w:rPr>
            </w:pPr>
            <w:r>
              <w:rPr>
                <w:color w:val="auto"/>
              </w:rPr>
              <w:t>UE sleeps in idle state, waking at paging intervals to listen for incoming calls/messages; fundamental for power saving in idle.</w:t>
            </w:r>
          </w:p>
        </w:tc>
      </w:tr>
      <w:tr w14:paraId="7139B87F">
        <w:tc>
          <w:tcPr>
            <w:tcBorders>
              <w:tl2br w:val="nil"/>
              <w:tr2bl w:val="nil"/>
            </w:tcBorders>
          </w:tcPr>
          <w:p w14:paraId="15D39ED0">
            <w:pPr>
              <w:pStyle w:val="84"/>
              <w:rPr>
                <w:color w:val="auto"/>
              </w:rPr>
            </w:pPr>
            <w:r>
              <w:rPr>
                <w:b/>
                <w:bCs/>
                <w:color w:val="auto"/>
              </w:rPr>
              <w:t>Cell DTX (BS Discontinuous Tx)</w:t>
            </w:r>
          </w:p>
        </w:tc>
        <w:tc>
          <w:tcPr>
            <w:tcW w:w="1272" w:type="dxa"/>
            <w:tcBorders>
              <w:tl2br w:val="nil"/>
              <w:tr2bl w:val="nil"/>
            </w:tcBorders>
          </w:tcPr>
          <w:p w14:paraId="77A1245E">
            <w:pPr>
              <w:pStyle w:val="84"/>
              <w:rPr>
                <w:color w:val="auto"/>
              </w:rPr>
            </w:pPr>
            <w:r>
              <w:rPr>
                <w:color w:val="auto"/>
              </w:rPr>
              <w:t>LTE Rel-10 (study)</w:t>
            </w:r>
          </w:p>
        </w:tc>
        <w:tc>
          <w:tcPr>
            <w:tcW w:w="1468" w:type="dxa"/>
            <w:tcBorders>
              <w:tl2br w:val="nil"/>
              <w:tr2bl w:val="nil"/>
            </w:tcBorders>
          </w:tcPr>
          <w:p w14:paraId="066C16B7">
            <w:pPr>
              <w:pStyle w:val="84"/>
              <w:rPr>
                <w:color w:val="auto"/>
              </w:rPr>
            </w:pPr>
            <w:r>
              <w:rPr>
                <w:color w:val="auto"/>
              </w:rPr>
              <w:t>Network (eNodeB)</w:t>
            </w:r>
          </w:p>
        </w:tc>
        <w:tc>
          <w:tcPr>
            <w:tcBorders>
              <w:tl2br w:val="nil"/>
              <w:tr2bl w:val="nil"/>
            </w:tcBorders>
          </w:tcPr>
          <w:p w14:paraId="6441A5CB">
            <w:pPr>
              <w:pStyle w:val="84"/>
              <w:rPr>
                <w:color w:val="auto"/>
              </w:rPr>
            </w:pPr>
            <w:r>
              <w:rPr>
                <w:color w:val="auto"/>
              </w:rPr>
              <w:t>Base station periodically pauses all DL signals when no traffic, allowing PA shut-off. Larger “off” duty cycle yields more energy saved.</w:t>
            </w:r>
          </w:p>
        </w:tc>
      </w:tr>
      <w:tr w14:paraId="3D57F686">
        <w:tc>
          <w:tcPr>
            <w:tcBorders>
              <w:tl2br w:val="nil"/>
              <w:tr2bl w:val="nil"/>
            </w:tcBorders>
          </w:tcPr>
          <w:p w14:paraId="60642CEB">
            <w:pPr>
              <w:pStyle w:val="84"/>
              <w:rPr>
                <w:color w:val="auto"/>
              </w:rPr>
            </w:pPr>
            <w:r>
              <w:rPr>
                <w:b/>
                <w:bCs/>
                <w:color w:val="auto"/>
              </w:rPr>
              <w:t>Extended DRX &amp; PSM</w:t>
            </w:r>
          </w:p>
        </w:tc>
        <w:tc>
          <w:tcPr>
            <w:tcW w:w="1272" w:type="dxa"/>
            <w:tcBorders>
              <w:tl2br w:val="nil"/>
              <w:tr2bl w:val="nil"/>
            </w:tcBorders>
          </w:tcPr>
          <w:p w14:paraId="05436D47">
            <w:pPr>
              <w:pStyle w:val="84"/>
              <w:rPr>
                <w:color w:val="auto"/>
              </w:rPr>
            </w:pPr>
            <w:r>
              <w:rPr>
                <w:color w:val="auto"/>
              </w:rPr>
              <w:t>LTE Rel-12/13 (LTE-M, NB-IoT)</w:t>
            </w:r>
          </w:p>
        </w:tc>
        <w:tc>
          <w:tcPr>
            <w:tcW w:w="1468" w:type="dxa"/>
            <w:tcBorders>
              <w:tl2br w:val="nil"/>
              <w:tr2bl w:val="nil"/>
            </w:tcBorders>
          </w:tcPr>
          <w:p w14:paraId="085563AD">
            <w:pPr>
              <w:pStyle w:val="84"/>
              <w:rPr>
                <w:rFonts w:hint="default"/>
                <w:color w:val="auto"/>
                <w:lang w:val="en-US"/>
              </w:rPr>
            </w:pPr>
            <w:r>
              <w:rPr>
                <w:color w:val="auto"/>
              </w:rPr>
              <w:t>UE (IoT devices)</w:t>
            </w:r>
            <w:r>
              <w:rPr>
                <w:rFonts w:hint="default"/>
                <w:color w:val="auto"/>
                <w:lang w:val="en-US"/>
              </w:rPr>
              <w:t>+Network</w:t>
            </w:r>
          </w:p>
        </w:tc>
        <w:tc>
          <w:tcPr>
            <w:tcBorders>
              <w:tl2br w:val="nil"/>
              <w:tr2bl w:val="nil"/>
            </w:tcBorders>
          </w:tcPr>
          <w:p w14:paraId="6F08D721">
            <w:pPr>
              <w:pStyle w:val="84"/>
              <w:rPr>
                <w:color w:val="auto"/>
              </w:rPr>
            </w:pPr>
            <w:r>
              <w:rPr>
                <w:color w:val="auto"/>
              </w:rPr>
              <w:t>IoT UEs stay dormant for very long cycles (minutes or hours). eDRX extends paging cycle (e.g. 10.24s up to hours)</w:t>
            </w:r>
            <w:r>
              <w:rPr>
                <w:color w:val="auto"/>
                <w:u w:val="none"/>
              </w:rPr>
              <w:fldChar w:fldCharType="begin"/>
            </w:r>
            <w:r>
              <w:rPr>
                <w:color w:val="auto"/>
                <w:u w:val="none"/>
              </w:rPr>
              <w:instrText xml:space="preserve"> HYPERLINK "https://gsacom.com/industry-insights/5g-redcap-for-fwa/#:~:text=In%20addition%2C%20Release%2017%20introduces,by%20enabling%20even%20longer%20cycles" \h </w:instrText>
            </w:r>
            <w:r>
              <w:rPr>
                <w:color w:val="auto"/>
                <w:u w:val="none"/>
              </w:rPr>
              <w:fldChar w:fldCharType="separate"/>
            </w:r>
            <w:r>
              <w:rPr>
                <w:rStyle w:val="32"/>
                <w:color w:val="auto"/>
                <w:u w:val="none"/>
              </w:rPr>
              <w:t>[</w:t>
            </w:r>
            <w:r>
              <w:rPr>
                <w:rStyle w:val="32"/>
                <w:rFonts w:hint="default"/>
                <w:color w:val="auto"/>
                <w:u w:val="none"/>
                <w:lang w:val="en-US"/>
              </w:rPr>
              <w:t>10</w:t>
            </w:r>
            <w:r>
              <w:rPr>
                <w:rStyle w:val="32"/>
                <w:color w:val="auto"/>
                <w:u w:val="none"/>
              </w:rPr>
              <w:t>]</w:t>
            </w:r>
            <w:r>
              <w:rPr>
                <w:rStyle w:val="32"/>
                <w:color w:val="auto"/>
                <w:u w:val="none"/>
              </w:rPr>
              <w:fldChar w:fldCharType="end"/>
            </w:r>
            <w:r>
              <w:rPr>
                <w:color w:val="auto"/>
              </w:rPr>
              <w:t>; PSM is essentially deep sleep with no paging at all for a defined period. Enables multi-year battery life.</w:t>
            </w:r>
          </w:p>
        </w:tc>
      </w:tr>
      <w:tr w14:paraId="09DB3E5A">
        <w:tc>
          <w:tcPr>
            <w:tcBorders>
              <w:tl2br w:val="nil"/>
              <w:tr2bl w:val="nil"/>
            </w:tcBorders>
          </w:tcPr>
          <w:p w14:paraId="0899F228">
            <w:pPr>
              <w:pStyle w:val="84"/>
              <w:rPr>
                <w:color w:val="auto"/>
              </w:rPr>
            </w:pPr>
            <w:r>
              <w:rPr>
                <w:b/>
                <w:bCs/>
                <w:color w:val="auto"/>
              </w:rPr>
              <w:t>BWP Adaptation</w:t>
            </w:r>
          </w:p>
        </w:tc>
        <w:tc>
          <w:tcPr>
            <w:tcW w:w="1272" w:type="dxa"/>
            <w:tcBorders>
              <w:tl2br w:val="nil"/>
              <w:tr2bl w:val="nil"/>
            </w:tcBorders>
          </w:tcPr>
          <w:p w14:paraId="5D5BBC75">
            <w:pPr>
              <w:pStyle w:val="84"/>
              <w:rPr>
                <w:color w:val="auto"/>
              </w:rPr>
            </w:pPr>
            <w:r>
              <w:rPr>
                <w:color w:val="auto"/>
              </w:rPr>
              <w:t>NR Rel-15</w:t>
            </w:r>
          </w:p>
        </w:tc>
        <w:tc>
          <w:tcPr>
            <w:tcW w:w="1468" w:type="dxa"/>
            <w:tcBorders>
              <w:tl2br w:val="nil"/>
              <w:tr2bl w:val="nil"/>
            </w:tcBorders>
          </w:tcPr>
          <w:p w14:paraId="474797A8">
            <w:pPr>
              <w:pStyle w:val="84"/>
              <w:rPr>
                <w:color w:val="auto"/>
              </w:rPr>
            </w:pPr>
            <w:r>
              <w:rPr>
                <w:color w:val="auto"/>
              </w:rPr>
              <w:t>UE (all)</w:t>
            </w:r>
          </w:p>
        </w:tc>
        <w:tc>
          <w:tcPr>
            <w:tcBorders>
              <w:tl2br w:val="nil"/>
              <w:tr2bl w:val="nil"/>
            </w:tcBorders>
          </w:tcPr>
          <w:p w14:paraId="5A5AB004">
            <w:pPr>
              <w:pStyle w:val="84"/>
              <w:rPr>
                <w:color w:val="auto"/>
              </w:rPr>
            </w:pPr>
            <w:r>
              <w:rPr>
                <w:color w:val="auto"/>
              </w:rPr>
              <w:t>NR UEs operate on narrower bandwidth during low throughput to save power, switching BWPs as needed. Reduces processing and RF energy use.</w:t>
            </w:r>
          </w:p>
        </w:tc>
      </w:tr>
      <w:tr w14:paraId="77F47887">
        <w:tc>
          <w:tcPr>
            <w:tcBorders>
              <w:tl2br w:val="nil"/>
              <w:tr2bl w:val="nil"/>
            </w:tcBorders>
          </w:tcPr>
          <w:p w14:paraId="702CD671">
            <w:pPr>
              <w:pStyle w:val="84"/>
              <w:rPr>
                <w:color w:val="auto"/>
              </w:rPr>
            </w:pPr>
            <w:r>
              <w:rPr>
                <w:b/>
                <w:bCs/>
                <w:color w:val="auto"/>
              </w:rPr>
              <w:t>RRC_INACTIVE state</w:t>
            </w:r>
          </w:p>
        </w:tc>
        <w:tc>
          <w:tcPr>
            <w:tcW w:w="1272" w:type="dxa"/>
            <w:tcBorders>
              <w:tl2br w:val="nil"/>
              <w:tr2bl w:val="nil"/>
            </w:tcBorders>
          </w:tcPr>
          <w:p w14:paraId="1A925F02">
            <w:pPr>
              <w:pStyle w:val="84"/>
              <w:rPr>
                <w:rFonts w:hint="eastAsia" w:eastAsia="宋体"/>
                <w:color w:val="auto"/>
                <w:lang w:val="en-US" w:eastAsia="zh-CN"/>
              </w:rPr>
            </w:pPr>
            <w:r>
              <w:rPr>
                <w:color w:val="auto"/>
              </w:rPr>
              <w:t>NR Rel-1</w:t>
            </w:r>
            <w:r>
              <w:rPr>
                <w:rFonts w:hint="eastAsia"/>
                <w:color w:val="auto"/>
                <w:lang w:val="en-US" w:eastAsia="zh-CN"/>
              </w:rPr>
              <w:t>5</w:t>
            </w:r>
          </w:p>
        </w:tc>
        <w:tc>
          <w:tcPr>
            <w:tcW w:w="1468" w:type="dxa"/>
            <w:tcBorders>
              <w:tl2br w:val="nil"/>
              <w:tr2bl w:val="nil"/>
            </w:tcBorders>
          </w:tcPr>
          <w:p w14:paraId="21F47F3D">
            <w:pPr>
              <w:pStyle w:val="84"/>
              <w:rPr>
                <w:color w:val="auto"/>
              </w:rPr>
            </w:pPr>
            <w:r>
              <w:rPr>
                <w:color w:val="auto"/>
              </w:rPr>
              <w:t>UE + Network</w:t>
            </w:r>
          </w:p>
        </w:tc>
        <w:tc>
          <w:tcPr>
            <w:tcBorders>
              <w:tl2br w:val="nil"/>
              <w:tr2bl w:val="nil"/>
            </w:tcBorders>
          </w:tcPr>
          <w:p w14:paraId="735CF4EB">
            <w:pPr>
              <w:pStyle w:val="84"/>
              <w:rPr>
                <w:color w:val="auto"/>
              </w:rPr>
            </w:pPr>
            <w:r>
              <w:rPr>
                <w:color w:val="auto"/>
              </w:rPr>
              <w:t>New UE state between Connected and Idle. UE can sleep with only occasional paging, but context is kept in network for fast resume. Cuts signaling and energy for intermittent traffic.</w:t>
            </w:r>
          </w:p>
        </w:tc>
      </w:tr>
      <w:tr w14:paraId="759484FC">
        <w:tc>
          <w:tcPr>
            <w:tcBorders>
              <w:tl2br w:val="nil"/>
              <w:tr2bl w:val="nil"/>
            </w:tcBorders>
          </w:tcPr>
          <w:p w14:paraId="21850D41">
            <w:pPr>
              <w:pStyle w:val="84"/>
              <w:rPr>
                <w:rFonts w:hint="default"/>
                <w:b/>
                <w:bCs/>
                <w:color w:val="auto"/>
                <w:lang w:val="en-US"/>
              </w:rPr>
            </w:pPr>
            <w:r>
              <w:rPr>
                <w:rFonts w:hint="default"/>
                <w:b/>
                <w:bCs/>
                <w:color w:val="auto"/>
                <w:lang w:val="en-US"/>
              </w:rPr>
              <w:t>MICO</w:t>
            </w:r>
          </w:p>
        </w:tc>
        <w:tc>
          <w:tcPr>
            <w:tcW w:w="1272" w:type="dxa"/>
            <w:tcBorders>
              <w:tl2br w:val="nil"/>
              <w:tr2bl w:val="nil"/>
            </w:tcBorders>
          </w:tcPr>
          <w:p w14:paraId="3BB56AE6">
            <w:pPr>
              <w:pStyle w:val="84"/>
              <w:rPr>
                <w:color w:val="auto"/>
              </w:rPr>
            </w:pPr>
            <w:r>
              <w:rPr>
                <w:color w:val="auto"/>
              </w:rPr>
              <w:t>NR Rel-1</w:t>
            </w:r>
            <w:r>
              <w:rPr>
                <w:rFonts w:hint="eastAsia"/>
                <w:color w:val="auto"/>
                <w:lang w:val="en-US" w:eastAsia="zh-CN"/>
              </w:rPr>
              <w:t>5</w:t>
            </w:r>
          </w:p>
        </w:tc>
        <w:tc>
          <w:tcPr>
            <w:tcW w:w="1468" w:type="dxa"/>
            <w:tcBorders>
              <w:tl2br w:val="nil"/>
              <w:tr2bl w:val="nil"/>
            </w:tcBorders>
          </w:tcPr>
          <w:p w14:paraId="5CDB685A">
            <w:pPr>
              <w:pStyle w:val="84"/>
              <w:rPr>
                <w:rFonts w:hint="default"/>
                <w:color w:val="auto"/>
                <w:lang w:val="en-US"/>
              </w:rPr>
            </w:pPr>
            <w:r>
              <w:rPr>
                <w:rFonts w:hint="default"/>
                <w:color w:val="auto"/>
                <w:lang w:val="en-US"/>
              </w:rPr>
              <w:t>UE+Network</w:t>
            </w:r>
          </w:p>
        </w:tc>
        <w:tc>
          <w:tcPr>
            <w:tcBorders>
              <w:tl2br w:val="nil"/>
              <w:tr2bl w:val="nil"/>
            </w:tcBorders>
          </w:tcPr>
          <w:p w14:paraId="18A64CD3">
            <w:pPr>
              <w:pStyle w:val="84"/>
              <w:rPr>
                <w:color w:val="auto"/>
              </w:rPr>
            </w:pPr>
            <w:r>
              <w:rPr>
                <w:rFonts w:hint="eastAsia"/>
                <w:color w:val="auto"/>
              </w:rPr>
              <w:t>After registration, devices enter deep sleep, disabling paging reception while maintaining periodic registration updates. Connectivity resumes only when the UE transmits data or refreshes registration, with an optional Active Time window for brief downlink reachability</w:t>
            </w:r>
          </w:p>
        </w:tc>
      </w:tr>
      <w:tr w14:paraId="6EBB0DC3">
        <w:tc>
          <w:tcPr>
            <w:tcBorders>
              <w:tl2br w:val="nil"/>
              <w:tr2bl w:val="nil"/>
            </w:tcBorders>
          </w:tcPr>
          <w:p w14:paraId="00D14CA9">
            <w:pPr>
              <w:pStyle w:val="84"/>
              <w:rPr>
                <w:rFonts w:hint="default" w:eastAsia="宋体"/>
                <w:color w:val="auto"/>
                <w:lang w:val="en-US" w:eastAsia="zh-CN"/>
              </w:rPr>
            </w:pPr>
            <w:r>
              <w:rPr>
                <w:b/>
                <w:bCs/>
                <w:color w:val="auto"/>
              </w:rPr>
              <w:t>WUS</w:t>
            </w:r>
            <w:r>
              <w:rPr>
                <w:rFonts w:hint="eastAsia"/>
                <w:b/>
                <w:bCs/>
                <w:color w:val="auto"/>
                <w:lang w:val="en-US" w:eastAsia="zh-CN"/>
              </w:rPr>
              <w:t>/Group</w:t>
            </w:r>
            <w:r>
              <w:rPr>
                <w:rFonts w:hint="default"/>
                <w:b/>
                <w:bCs/>
                <w:color w:val="auto"/>
                <w:lang w:val="en-US" w:eastAsia="zh-CN"/>
              </w:rPr>
              <w:t xml:space="preserve"> WUS</w:t>
            </w:r>
          </w:p>
        </w:tc>
        <w:tc>
          <w:tcPr>
            <w:tcW w:w="1272" w:type="dxa"/>
            <w:tcBorders>
              <w:tl2br w:val="nil"/>
              <w:tr2bl w:val="nil"/>
            </w:tcBorders>
          </w:tcPr>
          <w:p w14:paraId="2F319662">
            <w:pPr>
              <w:pStyle w:val="84"/>
              <w:rPr>
                <w:rFonts w:hint="default" w:eastAsia="宋体"/>
                <w:color w:val="auto"/>
                <w:lang w:val="en-US" w:eastAsia="zh-CN"/>
              </w:rPr>
            </w:pPr>
            <w:r>
              <w:rPr>
                <w:color w:val="auto"/>
              </w:rPr>
              <w:t>Rel-1</w:t>
            </w:r>
            <w:r>
              <w:rPr>
                <w:rFonts w:hint="default"/>
                <w:color w:val="auto"/>
                <w:lang w:val="en-US"/>
              </w:rPr>
              <w:t>5/Rel</w:t>
            </w:r>
            <w:r>
              <w:rPr>
                <w:rFonts w:hint="eastAsia"/>
                <w:color w:val="auto"/>
                <w:lang w:val="en-US" w:eastAsia="zh-CN"/>
              </w:rPr>
              <w:t xml:space="preserve"> 16</w:t>
            </w:r>
          </w:p>
        </w:tc>
        <w:tc>
          <w:tcPr>
            <w:tcW w:w="1468" w:type="dxa"/>
            <w:tcBorders>
              <w:tl2br w:val="nil"/>
              <w:tr2bl w:val="nil"/>
            </w:tcBorders>
          </w:tcPr>
          <w:p w14:paraId="1BB02534">
            <w:pPr>
              <w:pStyle w:val="84"/>
              <w:rPr>
                <w:color w:val="auto"/>
              </w:rPr>
            </w:pPr>
            <w:r>
              <w:rPr>
                <w:color w:val="auto"/>
              </w:rPr>
              <w:t>UE + Network</w:t>
            </w:r>
          </w:p>
        </w:tc>
        <w:tc>
          <w:tcPr>
            <w:tcBorders>
              <w:tl2br w:val="nil"/>
              <w:tr2bl w:val="nil"/>
            </w:tcBorders>
          </w:tcPr>
          <w:p w14:paraId="59CEE918">
            <w:pPr>
              <w:pStyle w:val="84"/>
              <w:rPr>
                <w:color w:val="auto"/>
              </w:rPr>
            </w:pPr>
            <w:r>
              <w:rPr>
                <w:color w:val="auto"/>
              </w:rPr>
              <w:t xml:space="preserve">Short signal to notify </w:t>
            </w:r>
            <w:r>
              <w:rPr>
                <w:rFonts w:hint="default"/>
                <w:color w:val="auto"/>
                <w:lang w:val="en-US"/>
              </w:rPr>
              <w:t>IoT/NR-</w:t>
            </w:r>
            <w:r>
              <w:rPr>
                <w:color w:val="auto"/>
              </w:rPr>
              <w:t xml:space="preserve">UE whether to wake for DRX cycle. If no data pending, </w:t>
            </w:r>
            <w:r>
              <w:rPr>
                <w:rFonts w:hint="default"/>
                <w:color w:val="auto"/>
                <w:lang w:val="en-US"/>
              </w:rPr>
              <w:t>IoT/NR-</w:t>
            </w:r>
            <w:r>
              <w:rPr>
                <w:color w:val="auto"/>
              </w:rPr>
              <w:t>UE skips waking</w:t>
            </w:r>
            <w:r>
              <w:rPr>
                <w:color w:val="auto"/>
                <w:u w:val="none"/>
              </w:rPr>
              <w:fldChar w:fldCharType="begin"/>
            </w:r>
            <w:r>
              <w:rPr>
                <w:color w:val="auto"/>
                <w:u w:val="none"/>
              </w:rPr>
              <w:instrText xml:space="preserve"> HYPERLINK "https://www.sharetechnote.com/html/5G/5G_WUS.html#:~:text=WUS%20,receive%20data%20during%20OnDuration%20time" \h </w:instrText>
            </w:r>
            <w:r>
              <w:rPr>
                <w:color w:val="auto"/>
                <w:u w:val="none"/>
              </w:rPr>
              <w:fldChar w:fldCharType="separate"/>
            </w:r>
            <w:r>
              <w:rPr>
                <w:rStyle w:val="32"/>
                <w:color w:val="auto"/>
                <w:u w:val="none"/>
              </w:rPr>
              <w:t>[</w:t>
            </w:r>
            <w:r>
              <w:rPr>
                <w:rStyle w:val="32"/>
                <w:rFonts w:hint="default"/>
                <w:color w:val="auto"/>
                <w:u w:val="none"/>
                <w:lang w:val="en-US"/>
              </w:rPr>
              <w:t>12</w:t>
            </w:r>
            <w:r>
              <w:rPr>
                <w:rStyle w:val="32"/>
                <w:color w:val="auto"/>
                <w:u w:val="none"/>
              </w:rPr>
              <w:t>]</w:t>
            </w:r>
            <w:r>
              <w:rPr>
                <w:rStyle w:val="32"/>
                <w:color w:val="auto"/>
                <w:u w:val="none"/>
              </w:rPr>
              <w:fldChar w:fldCharType="end"/>
            </w:r>
            <w:r>
              <w:rPr>
                <w:color w:val="auto"/>
              </w:rPr>
              <w:t>. Avoids unnecessary receiver on-times, significantly saving battery.</w:t>
            </w:r>
          </w:p>
        </w:tc>
      </w:tr>
      <w:tr w14:paraId="6F4C5FB5">
        <w:tc>
          <w:tcPr>
            <w:tcBorders>
              <w:tl2br w:val="nil"/>
              <w:tr2bl w:val="nil"/>
            </w:tcBorders>
          </w:tcPr>
          <w:p w14:paraId="7D0A4E66">
            <w:pPr>
              <w:pStyle w:val="84"/>
              <w:rPr>
                <w:color w:val="auto"/>
              </w:rPr>
            </w:pPr>
            <w:r>
              <w:rPr>
                <w:b/>
                <w:bCs/>
                <w:color w:val="auto"/>
              </w:rPr>
              <w:t>Low-Power Secondary Receiver</w:t>
            </w:r>
          </w:p>
        </w:tc>
        <w:tc>
          <w:tcPr>
            <w:tcW w:w="1272" w:type="dxa"/>
            <w:tcBorders>
              <w:tl2br w:val="nil"/>
              <w:tr2bl w:val="nil"/>
            </w:tcBorders>
          </w:tcPr>
          <w:p w14:paraId="182343BC">
            <w:pPr>
              <w:pStyle w:val="84"/>
              <w:rPr>
                <w:color w:val="auto"/>
              </w:rPr>
            </w:pPr>
            <w:r>
              <w:rPr>
                <w:color w:val="auto"/>
              </w:rPr>
              <w:t>NR Rel-17</w:t>
            </w:r>
          </w:p>
        </w:tc>
        <w:tc>
          <w:tcPr>
            <w:tcW w:w="1468" w:type="dxa"/>
            <w:tcBorders>
              <w:tl2br w:val="nil"/>
              <w:tr2bl w:val="nil"/>
            </w:tcBorders>
          </w:tcPr>
          <w:p w14:paraId="37F8B8CA">
            <w:pPr>
              <w:pStyle w:val="84"/>
              <w:rPr>
                <w:color w:val="auto"/>
              </w:rPr>
            </w:pPr>
            <w:r>
              <w:rPr>
                <w:color w:val="auto"/>
              </w:rPr>
              <w:t>UE (some UEs)</w:t>
            </w:r>
          </w:p>
        </w:tc>
        <w:tc>
          <w:tcPr>
            <w:tcBorders>
              <w:tl2br w:val="nil"/>
              <w:tr2bl w:val="nil"/>
            </w:tcBorders>
          </w:tcPr>
          <w:p w14:paraId="0D4892C0">
            <w:pPr>
              <w:pStyle w:val="84"/>
              <w:rPr>
                <w:color w:val="auto"/>
              </w:rPr>
            </w:pPr>
            <w:r>
              <w:rPr>
                <w:color w:val="auto"/>
              </w:rPr>
              <w:t>A reduced-capability receiver chain for a UE to monitor critical signals (WUS, paging) with much lower power draw</w:t>
            </w:r>
            <w:r>
              <w:rPr>
                <w:color w:val="auto"/>
              </w:rPr>
              <w:fldChar w:fldCharType="begin"/>
            </w:r>
            <w:r>
              <w:rPr>
                <w:color w:val="auto"/>
              </w:rPr>
              <w:instrText xml:space="preserve"> HYPERLINK "https://research.samsung.com/blog/Energy-Saving-for-6G-Network-Part-I#:~:text=%E2%80%A2%20Introduced%20low,legacy%205G%20receiver%20when%20needed" \h </w:instrText>
            </w:r>
            <w:r>
              <w:rPr>
                <w:color w:val="auto"/>
              </w:rPr>
              <w:fldChar w:fldCharType="separate"/>
            </w:r>
            <w:r>
              <w:rPr>
                <w:rStyle w:val="32"/>
                <w:color w:val="auto"/>
              </w:rPr>
              <w:fldChar w:fldCharType="end"/>
            </w:r>
            <w:r>
              <w:rPr>
                <w:color w:val="auto"/>
              </w:rPr>
              <w:t>. Main receiver sleeps until truly needed.</w:t>
            </w:r>
          </w:p>
        </w:tc>
      </w:tr>
      <w:tr w14:paraId="44F91B18">
        <w:tc>
          <w:tcPr>
            <w:tcBorders>
              <w:tl2br w:val="nil"/>
              <w:tr2bl w:val="nil"/>
            </w:tcBorders>
          </w:tcPr>
          <w:p w14:paraId="609CBC7A">
            <w:pPr>
              <w:pStyle w:val="84"/>
              <w:rPr>
                <w:color w:val="auto"/>
              </w:rPr>
            </w:pPr>
            <w:r>
              <w:rPr>
                <w:b/>
                <w:bCs/>
                <w:color w:val="auto"/>
                <w:lang w:val="en-US"/>
              </w:rPr>
              <w:t>RedCap</w:t>
            </w:r>
            <w:r>
              <w:rPr>
                <w:b/>
                <w:bCs/>
                <w:color w:val="auto"/>
              </w:rPr>
              <w:t>(NR-Light) Devices</w:t>
            </w:r>
          </w:p>
        </w:tc>
        <w:tc>
          <w:tcPr>
            <w:tcW w:w="1272" w:type="dxa"/>
            <w:tcBorders>
              <w:tl2br w:val="nil"/>
              <w:tr2bl w:val="nil"/>
            </w:tcBorders>
          </w:tcPr>
          <w:p w14:paraId="373ED568">
            <w:pPr>
              <w:pStyle w:val="84"/>
              <w:rPr>
                <w:color w:val="auto"/>
              </w:rPr>
            </w:pPr>
            <w:r>
              <w:rPr>
                <w:color w:val="auto"/>
              </w:rPr>
              <w:t>NR Rel-17</w:t>
            </w:r>
          </w:p>
        </w:tc>
        <w:tc>
          <w:tcPr>
            <w:tcW w:w="1468" w:type="dxa"/>
            <w:tcBorders>
              <w:tl2br w:val="nil"/>
              <w:tr2bl w:val="nil"/>
            </w:tcBorders>
          </w:tcPr>
          <w:p w14:paraId="39551C31">
            <w:pPr>
              <w:pStyle w:val="84"/>
              <w:rPr>
                <w:color w:val="auto"/>
              </w:rPr>
            </w:pPr>
            <w:r>
              <w:rPr>
                <w:color w:val="auto"/>
              </w:rPr>
              <w:t>UE (IoT/wearable)</w:t>
            </w:r>
          </w:p>
        </w:tc>
        <w:tc>
          <w:tcPr>
            <w:tcBorders>
              <w:tl2br w:val="nil"/>
              <w:tr2bl w:val="nil"/>
            </w:tcBorders>
          </w:tcPr>
          <w:p w14:paraId="6F68AC66">
            <w:pPr>
              <w:pStyle w:val="84"/>
              <w:rPr>
                <w:color w:val="auto"/>
              </w:rPr>
            </w:pPr>
            <w:r>
              <w:rPr>
                <w:color w:val="auto"/>
              </w:rPr>
              <w:t>UEs with reduced RF capabilities (single antenna, 20 MHz max, no CA) for lower complexity and power</w:t>
            </w:r>
            <w:r>
              <w:rPr>
                <w:color w:val="auto"/>
                <w:u w:val="none"/>
              </w:rPr>
              <w:fldChar w:fldCharType="begin"/>
            </w:r>
            <w:r>
              <w:rPr>
                <w:color w:val="auto"/>
                <w:u w:val="none"/>
              </w:rPr>
              <w:instrText xml:space="preserve"> HYPERLINK "https://gsacom.com/industry-insights/5g-redcap-for-fwa/#:~:text=Originally%20referred%20to%20as%20%E2%80%9CNR,device%20cost%20compared%20to%20RedCap" \h </w:instrText>
            </w:r>
            <w:r>
              <w:rPr>
                <w:color w:val="auto"/>
                <w:u w:val="none"/>
              </w:rPr>
              <w:fldChar w:fldCharType="separate"/>
            </w:r>
            <w:r>
              <w:rPr>
                <w:rStyle w:val="32"/>
                <w:color w:val="auto"/>
                <w:u w:val="none"/>
              </w:rPr>
              <w:t>[</w:t>
            </w:r>
            <w:r>
              <w:rPr>
                <w:rStyle w:val="32"/>
                <w:rFonts w:hint="default"/>
                <w:color w:val="auto"/>
                <w:u w:val="none"/>
                <w:lang w:val="en-US"/>
              </w:rPr>
              <w:t>11</w:t>
            </w:r>
            <w:r>
              <w:rPr>
                <w:rStyle w:val="32"/>
                <w:color w:val="auto"/>
                <w:u w:val="none"/>
              </w:rPr>
              <w:t>]</w:t>
            </w:r>
            <w:r>
              <w:rPr>
                <w:rStyle w:val="32"/>
                <w:color w:val="auto"/>
                <w:u w:val="none"/>
              </w:rPr>
              <w:fldChar w:fldCharType="end"/>
            </w:r>
            <w:r>
              <w:rPr>
                <w:color w:val="auto"/>
              </w:rPr>
              <w:t>. Suitable for mid-rate IoT; power consumption significantly lowered compared to full NR modem.</w:t>
            </w:r>
          </w:p>
        </w:tc>
      </w:tr>
      <w:tr w14:paraId="34ED620B">
        <w:tc>
          <w:tcPr>
            <w:tcBorders>
              <w:tl2br w:val="nil"/>
              <w:tr2bl w:val="nil"/>
            </w:tcBorders>
          </w:tcPr>
          <w:p w14:paraId="1B882D55">
            <w:pPr>
              <w:pStyle w:val="84"/>
              <w:rPr>
                <w:rFonts w:hint="default" w:eastAsia="宋体"/>
                <w:b/>
                <w:bCs/>
                <w:color w:val="auto"/>
                <w:lang w:val="en-US" w:eastAsia="zh-CN"/>
              </w:rPr>
            </w:pPr>
            <w:r>
              <w:rPr>
                <w:rFonts w:hint="default"/>
                <w:b/>
                <w:bCs/>
                <w:color w:val="auto"/>
                <w:lang w:val="en-US"/>
              </w:rPr>
              <w:t>Paging E</w:t>
            </w:r>
            <w:r>
              <w:rPr>
                <w:rFonts w:hint="eastAsia"/>
                <w:b/>
                <w:bCs/>
                <w:color w:val="auto"/>
                <w:lang w:val="en-US" w:eastAsia="zh-CN"/>
              </w:rPr>
              <w:t>a</w:t>
            </w:r>
            <w:r>
              <w:rPr>
                <w:rFonts w:hint="default"/>
                <w:b/>
                <w:bCs/>
                <w:color w:val="auto"/>
                <w:lang w:val="en-US" w:eastAsia="zh-CN"/>
              </w:rPr>
              <w:t>rly Indication (PEI)</w:t>
            </w:r>
          </w:p>
        </w:tc>
        <w:tc>
          <w:tcPr>
            <w:tcW w:w="1272" w:type="dxa"/>
            <w:tcBorders>
              <w:tl2br w:val="nil"/>
              <w:tr2bl w:val="nil"/>
            </w:tcBorders>
          </w:tcPr>
          <w:p w14:paraId="5360389A">
            <w:pPr>
              <w:pStyle w:val="84"/>
              <w:rPr>
                <w:rFonts w:hint="default"/>
                <w:color w:val="auto"/>
                <w:lang w:val="en-US"/>
              </w:rPr>
            </w:pPr>
            <w:r>
              <w:rPr>
                <w:rFonts w:hint="default"/>
                <w:color w:val="auto"/>
                <w:lang w:val="en-US"/>
              </w:rPr>
              <w:t>NR Rel-17</w:t>
            </w:r>
          </w:p>
        </w:tc>
        <w:tc>
          <w:tcPr>
            <w:tcW w:w="1468" w:type="dxa"/>
            <w:tcBorders>
              <w:tl2br w:val="nil"/>
              <w:tr2bl w:val="nil"/>
            </w:tcBorders>
          </w:tcPr>
          <w:p w14:paraId="651A8546">
            <w:pPr>
              <w:pStyle w:val="84"/>
              <w:rPr>
                <w:color w:val="auto"/>
              </w:rPr>
            </w:pPr>
            <w:r>
              <w:rPr>
                <w:rFonts w:hint="default"/>
                <w:color w:val="auto"/>
                <w:lang w:val="en-US"/>
              </w:rPr>
              <w:t>UE+Network</w:t>
            </w:r>
          </w:p>
        </w:tc>
        <w:tc>
          <w:tcPr>
            <w:tcBorders>
              <w:tl2br w:val="nil"/>
              <w:tr2bl w:val="nil"/>
            </w:tcBorders>
          </w:tcPr>
          <w:p w14:paraId="0342B9D4">
            <w:pPr>
              <w:pStyle w:val="84"/>
              <w:rPr>
                <w:rFonts w:hint="default"/>
                <w:color w:val="auto"/>
                <w:lang w:val="en-US"/>
              </w:rPr>
            </w:pPr>
            <w:r>
              <w:rPr>
                <w:rFonts w:hint="default"/>
                <w:color w:val="auto"/>
                <w:lang w:val="en-US"/>
              </w:rPr>
              <w:t>UE(group) receives PEI (DCI 2_7) to decide if it should monitor paging PDCCH in next monitoring cycle.</w:t>
            </w:r>
          </w:p>
        </w:tc>
      </w:tr>
      <w:tr w14:paraId="202D028F">
        <w:tc>
          <w:tcPr>
            <w:tcBorders>
              <w:tl2br w:val="nil"/>
              <w:tr2bl w:val="nil"/>
            </w:tcBorders>
          </w:tcPr>
          <w:p w14:paraId="4E86EAE7">
            <w:pPr>
              <w:pStyle w:val="84"/>
              <w:rPr>
                <w:color w:val="auto"/>
              </w:rPr>
            </w:pPr>
            <w:r>
              <w:rPr>
                <w:b/>
                <w:bCs/>
                <w:color w:val="auto"/>
              </w:rPr>
              <w:t>SSB On-Demand / SSB-less Operation</w:t>
            </w:r>
          </w:p>
        </w:tc>
        <w:tc>
          <w:tcPr>
            <w:tcW w:w="1272" w:type="dxa"/>
            <w:tcBorders>
              <w:tl2br w:val="nil"/>
              <w:tr2bl w:val="nil"/>
            </w:tcBorders>
          </w:tcPr>
          <w:p w14:paraId="4BA58D5D">
            <w:pPr>
              <w:pStyle w:val="84"/>
              <w:rPr>
                <w:color w:val="auto"/>
              </w:rPr>
            </w:pPr>
            <w:r>
              <w:rPr>
                <w:color w:val="auto"/>
              </w:rPr>
              <w:t>NR Rel-17-18</w:t>
            </w:r>
          </w:p>
        </w:tc>
        <w:tc>
          <w:tcPr>
            <w:tcW w:w="1468" w:type="dxa"/>
            <w:tcBorders>
              <w:tl2br w:val="nil"/>
              <w:tr2bl w:val="nil"/>
            </w:tcBorders>
          </w:tcPr>
          <w:p w14:paraId="794F77A9">
            <w:pPr>
              <w:pStyle w:val="84"/>
              <w:rPr>
                <w:color w:val="auto"/>
              </w:rPr>
            </w:pPr>
            <w:r>
              <w:rPr>
                <w:color w:val="auto"/>
              </w:rPr>
              <w:t>Network + UE</w:t>
            </w:r>
          </w:p>
        </w:tc>
        <w:tc>
          <w:tcPr>
            <w:tcBorders>
              <w:tl2br w:val="nil"/>
              <w:tr2bl w:val="nil"/>
            </w:tcBorders>
          </w:tcPr>
          <w:p w14:paraId="0EB75BB8">
            <w:pPr>
              <w:pStyle w:val="84"/>
              <w:rPr>
                <w:color w:val="auto"/>
              </w:rPr>
            </w:pPr>
            <w:r>
              <w:rPr>
                <w:color w:val="auto"/>
              </w:rPr>
              <w:t>Allows stopping or slowing regular broadcast of Sync Signal Blocks on secondary cells or in low-load conditions. E.g. an on-demand SSB transmitted only when a UE needs synchronization, enabling base station to remain quiet otherwise.</w:t>
            </w:r>
          </w:p>
        </w:tc>
      </w:tr>
      <w:tr w14:paraId="02FA1E7D">
        <w:tc>
          <w:tcPr>
            <w:tcBorders>
              <w:tl2br w:val="nil"/>
              <w:tr2bl w:val="nil"/>
            </w:tcBorders>
          </w:tcPr>
          <w:p w14:paraId="1F2EC666">
            <w:pPr>
              <w:pStyle w:val="84"/>
              <w:rPr>
                <w:color w:val="auto"/>
              </w:rPr>
            </w:pPr>
            <w:r>
              <w:rPr>
                <w:b/>
                <w:bCs/>
                <w:color w:val="auto"/>
              </w:rPr>
              <w:t>Adaptive Antenna/Beam Shutdown</w:t>
            </w:r>
          </w:p>
        </w:tc>
        <w:tc>
          <w:tcPr>
            <w:tcW w:w="1272" w:type="dxa"/>
            <w:tcBorders>
              <w:tl2br w:val="nil"/>
              <w:tr2bl w:val="nil"/>
            </w:tcBorders>
          </w:tcPr>
          <w:p w14:paraId="3689B5F1">
            <w:pPr>
              <w:pStyle w:val="84"/>
              <w:rPr>
                <w:color w:val="auto"/>
              </w:rPr>
            </w:pPr>
            <w:r>
              <w:rPr>
                <w:color w:val="auto"/>
              </w:rPr>
              <w:t>NR Rel-18</w:t>
            </w:r>
          </w:p>
        </w:tc>
        <w:tc>
          <w:tcPr>
            <w:tcW w:w="1468" w:type="dxa"/>
            <w:tcBorders>
              <w:tl2br w:val="nil"/>
              <w:tr2bl w:val="nil"/>
            </w:tcBorders>
          </w:tcPr>
          <w:p w14:paraId="17157619">
            <w:pPr>
              <w:pStyle w:val="84"/>
              <w:rPr>
                <w:color w:val="auto"/>
              </w:rPr>
            </w:pPr>
            <w:r>
              <w:rPr>
                <w:color w:val="auto"/>
              </w:rPr>
              <w:t>Network (gNB)</w:t>
            </w:r>
          </w:p>
        </w:tc>
        <w:tc>
          <w:tcPr>
            <w:tcBorders>
              <w:tl2br w:val="nil"/>
              <w:tr2bl w:val="nil"/>
            </w:tcBorders>
          </w:tcPr>
          <w:p w14:paraId="1F1E7A6A">
            <w:pPr>
              <w:pStyle w:val="84"/>
              <w:rPr>
                <w:color w:val="auto"/>
              </w:rPr>
            </w:pPr>
            <w:r>
              <w:rPr>
                <w:color w:val="auto"/>
              </w:rPr>
              <w:t>Dynamically deactivate some antenna panels or MIMO layers when traffic is low to save energy. UE and network coordinate CSI reporting and beam management so that coverage/throughput is maintained with fewer active RF chains.</w:t>
            </w:r>
          </w:p>
        </w:tc>
      </w:tr>
      <w:tr w14:paraId="05682CE6">
        <w:tc>
          <w:tcPr>
            <w:tcBorders>
              <w:tl2br w:val="nil"/>
              <w:tr2bl w:val="nil"/>
            </w:tcBorders>
          </w:tcPr>
          <w:p w14:paraId="52A93470">
            <w:pPr>
              <w:pStyle w:val="84"/>
              <w:rPr>
                <w:color w:val="auto"/>
              </w:rPr>
            </w:pPr>
            <w:r>
              <w:rPr>
                <w:b/>
                <w:bCs/>
                <w:color w:val="auto"/>
              </w:rPr>
              <w:t>PDSCH Power Scaling</w:t>
            </w:r>
          </w:p>
        </w:tc>
        <w:tc>
          <w:tcPr>
            <w:tcW w:w="1272" w:type="dxa"/>
            <w:tcBorders>
              <w:tl2br w:val="nil"/>
              <w:tr2bl w:val="nil"/>
            </w:tcBorders>
          </w:tcPr>
          <w:p w14:paraId="2E2BA54B">
            <w:pPr>
              <w:pStyle w:val="84"/>
              <w:rPr>
                <w:color w:val="auto"/>
              </w:rPr>
            </w:pPr>
            <w:r>
              <w:rPr>
                <w:color w:val="auto"/>
              </w:rPr>
              <w:t>NR Rel-18</w:t>
            </w:r>
          </w:p>
        </w:tc>
        <w:tc>
          <w:tcPr>
            <w:tcW w:w="1468" w:type="dxa"/>
            <w:tcBorders>
              <w:tl2br w:val="nil"/>
              <w:tr2bl w:val="nil"/>
            </w:tcBorders>
          </w:tcPr>
          <w:p w14:paraId="4F19CE64">
            <w:pPr>
              <w:pStyle w:val="84"/>
              <w:rPr>
                <w:color w:val="auto"/>
              </w:rPr>
            </w:pPr>
            <w:r>
              <w:rPr>
                <w:color w:val="auto"/>
              </w:rPr>
              <w:t>Network + UE</w:t>
            </w:r>
          </w:p>
        </w:tc>
        <w:tc>
          <w:tcPr>
            <w:tcBorders>
              <w:tl2br w:val="nil"/>
              <w:tr2bl w:val="nil"/>
            </w:tcBorders>
          </w:tcPr>
          <w:p w14:paraId="438FB55B">
            <w:pPr>
              <w:pStyle w:val="84"/>
              <w:rPr>
                <w:rFonts w:hint="default"/>
                <w:color w:val="auto"/>
                <w:lang w:val="en-US"/>
              </w:rPr>
            </w:pPr>
            <w:r>
              <w:rPr>
                <w:color w:val="auto"/>
              </w:rPr>
              <w:t>gNB lowers transmit power on data channels in low traffic scenarios to save power. UE is informed of power offset relative to reference signals to preserve link performance</w:t>
            </w:r>
            <w:r>
              <w:rPr>
                <w:rFonts w:hint="default"/>
                <w:color w:val="auto"/>
                <w:lang w:val="en-US"/>
              </w:rPr>
              <w:t>.</w:t>
            </w:r>
          </w:p>
        </w:tc>
      </w:tr>
      <w:tr w14:paraId="05798E84">
        <w:tc>
          <w:tcPr>
            <w:tcBorders>
              <w:tl2br w:val="nil"/>
              <w:tr2bl w:val="nil"/>
            </w:tcBorders>
          </w:tcPr>
          <w:p w14:paraId="7202DD9F">
            <w:pPr>
              <w:pStyle w:val="84"/>
              <w:rPr>
                <w:rFonts w:hint="default"/>
                <w:b/>
                <w:bCs/>
                <w:color w:val="auto"/>
                <w:lang w:val="en-US"/>
              </w:rPr>
            </w:pPr>
            <w:r>
              <w:rPr>
                <w:rFonts w:hint="default"/>
                <w:b/>
                <w:bCs/>
                <w:color w:val="auto"/>
                <w:lang w:val="en-US"/>
              </w:rPr>
              <w:t>LP-WUS</w:t>
            </w:r>
          </w:p>
        </w:tc>
        <w:tc>
          <w:tcPr>
            <w:tcW w:w="1272" w:type="dxa"/>
            <w:tcBorders>
              <w:tl2br w:val="nil"/>
              <w:tr2bl w:val="nil"/>
            </w:tcBorders>
          </w:tcPr>
          <w:p w14:paraId="2C6A5EB2">
            <w:pPr>
              <w:pStyle w:val="84"/>
              <w:rPr>
                <w:rFonts w:hint="default"/>
                <w:color w:val="auto"/>
                <w:lang w:val="en-US"/>
              </w:rPr>
            </w:pPr>
            <w:r>
              <w:rPr>
                <w:rFonts w:hint="default"/>
                <w:color w:val="auto"/>
                <w:lang w:val="en-US"/>
              </w:rPr>
              <w:t>NR Rel-19</w:t>
            </w:r>
          </w:p>
        </w:tc>
        <w:tc>
          <w:tcPr>
            <w:tcW w:w="1468" w:type="dxa"/>
            <w:tcBorders>
              <w:tl2br w:val="nil"/>
              <w:tr2bl w:val="nil"/>
            </w:tcBorders>
          </w:tcPr>
          <w:p w14:paraId="18B19A18">
            <w:pPr>
              <w:pStyle w:val="84"/>
              <w:rPr>
                <w:rFonts w:hint="default"/>
                <w:color w:val="auto"/>
                <w:lang w:val="en-US"/>
              </w:rPr>
            </w:pPr>
            <w:r>
              <w:rPr>
                <w:rFonts w:hint="default"/>
                <w:color w:val="auto"/>
                <w:lang w:val="en-US"/>
              </w:rPr>
              <w:t>UE+Network</w:t>
            </w:r>
          </w:p>
        </w:tc>
        <w:tc>
          <w:tcPr>
            <w:tcBorders>
              <w:tl2br w:val="nil"/>
              <w:tr2bl w:val="nil"/>
            </w:tcBorders>
          </w:tcPr>
          <w:p w14:paraId="3E9917DE">
            <w:pPr>
              <w:pStyle w:val="84"/>
              <w:rPr>
                <w:color w:val="auto"/>
              </w:rPr>
            </w:pPr>
            <w:r>
              <w:rPr>
                <w:rFonts w:hint="eastAsia"/>
                <w:color w:val="auto"/>
                <w:lang w:val="en-US" w:eastAsia="zh-CN"/>
              </w:rPr>
              <w:t>LP-WUS advances NR energy-saving by enabling UEs in ultra-deep sleep state to detect a short, robust signal before paging, avoiding unnecessary receiver activation and cutting idle-mode power consumption.</w:t>
            </w:r>
          </w:p>
        </w:tc>
      </w:tr>
      <w:tr w14:paraId="20B87610">
        <w:tc>
          <w:tcPr>
            <w:tcBorders>
              <w:tl2br w:val="nil"/>
              <w:tr2bl w:val="nil"/>
            </w:tcBorders>
          </w:tcPr>
          <w:p w14:paraId="0C5724E3">
            <w:pPr>
              <w:pStyle w:val="84"/>
              <w:rPr>
                <w:rFonts w:hint="default" w:eastAsia="宋体"/>
                <w:b/>
                <w:bCs/>
                <w:color w:val="auto"/>
                <w:lang w:val="en-US" w:eastAsia="zh-CN"/>
              </w:rPr>
            </w:pPr>
            <w:r>
              <w:rPr>
                <w:rFonts w:hint="eastAsia"/>
                <w:b/>
                <w:bCs/>
                <w:color w:val="auto"/>
                <w:lang w:val="en-US" w:eastAsia="zh-CN"/>
              </w:rPr>
              <w:t>On-demand SSB/SIB1 and</w:t>
            </w:r>
            <w:r>
              <w:rPr>
                <w:rFonts w:hint="default"/>
                <w:b/>
                <w:bCs/>
                <w:color w:val="auto"/>
                <w:lang w:val="en-US" w:eastAsia="zh-CN"/>
              </w:rPr>
              <w:t xml:space="preserve"> SSB/Paging/PRACH adaptation</w:t>
            </w:r>
          </w:p>
        </w:tc>
        <w:tc>
          <w:tcPr>
            <w:tcW w:w="1272" w:type="dxa"/>
            <w:tcBorders>
              <w:tl2br w:val="nil"/>
              <w:tr2bl w:val="nil"/>
            </w:tcBorders>
          </w:tcPr>
          <w:p w14:paraId="324778CC">
            <w:pPr>
              <w:pStyle w:val="84"/>
              <w:rPr>
                <w:rFonts w:hint="default"/>
                <w:color w:val="auto"/>
                <w:lang w:val="en-US"/>
              </w:rPr>
            </w:pPr>
            <w:r>
              <w:rPr>
                <w:rFonts w:hint="default"/>
                <w:color w:val="auto"/>
                <w:lang w:val="en-US"/>
              </w:rPr>
              <w:t>NR Rel-19</w:t>
            </w:r>
          </w:p>
        </w:tc>
        <w:tc>
          <w:tcPr>
            <w:tcW w:w="1468" w:type="dxa"/>
            <w:tcBorders>
              <w:tl2br w:val="nil"/>
              <w:tr2bl w:val="nil"/>
            </w:tcBorders>
          </w:tcPr>
          <w:p w14:paraId="344F3578">
            <w:pPr>
              <w:pStyle w:val="84"/>
              <w:rPr>
                <w:color w:val="auto"/>
              </w:rPr>
            </w:pPr>
            <w:r>
              <w:rPr>
                <w:color w:val="auto"/>
              </w:rPr>
              <w:t>Network(gNB)</w:t>
            </w:r>
          </w:p>
        </w:tc>
        <w:tc>
          <w:tcPr>
            <w:tcBorders>
              <w:tl2br w:val="nil"/>
              <w:tr2bl w:val="nil"/>
            </w:tcBorders>
          </w:tcPr>
          <w:p w14:paraId="15B233C0">
            <w:pPr>
              <w:pStyle w:val="84"/>
              <w:rPr>
                <w:rFonts w:hint="default"/>
                <w:color w:val="auto"/>
                <w:lang w:val="en-US"/>
              </w:rPr>
            </w:pPr>
            <w:r>
              <w:rPr>
                <w:rFonts w:hint="default"/>
                <w:color w:val="auto"/>
                <w:lang w:val="en-US"/>
              </w:rPr>
              <w:t>gNB transmits common signal with on-demand requirement under different RRC state to further reduce NW energy consumption.</w:t>
            </w:r>
          </w:p>
        </w:tc>
      </w:tr>
    </w:tbl>
    <w:p w14:paraId="0862B7B9">
      <w:pPr>
        <w:pStyle w:val="17"/>
        <w:rPr>
          <w:color w:val="auto"/>
          <w:sz w:val="22"/>
          <w:szCs w:val="22"/>
        </w:rPr>
      </w:pPr>
      <w:r>
        <w:rPr>
          <w:i/>
          <w:iCs/>
          <w:color w:val="auto"/>
          <w:sz w:val="22"/>
          <w:szCs w:val="22"/>
        </w:rPr>
        <w:t>Note:</w:t>
      </w:r>
      <w:r>
        <w:rPr>
          <w:color w:val="auto"/>
          <w:sz w:val="22"/>
          <w:szCs w:val="22"/>
        </w:rPr>
        <w:t xml:space="preserve"> In addition to the above, many </w:t>
      </w:r>
      <w:r>
        <w:rPr>
          <w:b w:val="0"/>
          <w:bCs w:val="0"/>
          <w:color w:val="auto"/>
          <w:sz w:val="22"/>
          <w:szCs w:val="22"/>
        </w:rPr>
        <w:t xml:space="preserve">OAM-based solutions </w:t>
      </w:r>
      <w:r>
        <w:rPr>
          <w:color w:val="auto"/>
          <w:sz w:val="22"/>
          <w:szCs w:val="22"/>
        </w:rPr>
        <w:t>have been standardized to monitor and manage energy use (e.g. 3GPP TS 32.551 and TR 32.972 for energy saving management in 5G networks</w:t>
      </w:r>
      <w:r>
        <w:rPr>
          <w:color w:val="auto"/>
          <w:sz w:val="22"/>
          <w:szCs w:val="22"/>
          <w:u w:val="none"/>
        </w:rPr>
        <w:fldChar w:fldCharType="begin"/>
      </w:r>
      <w:r>
        <w:rPr>
          <w:color w:val="auto"/>
          <w:sz w:val="22"/>
          <w:szCs w:val="22"/>
          <w:u w:val="none"/>
        </w:rPr>
        <w:instrText xml:space="preserve"> HYPERLINK "https://www.3gpp.org/technologies/ee-article#:~:text=support%20for%20assessment%20of%20energy,efficiency%20in%20mobile%20access%20networks" \h </w:instrText>
      </w:r>
      <w:r>
        <w:rPr>
          <w:color w:val="auto"/>
          <w:sz w:val="22"/>
          <w:szCs w:val="22"/>
          <w:u w:val="none"/>
        </w:rPr>
        <w:fldChar w:fldCharType="separate"/>
      </w:r>
      <w:r>
        <w:rPr>
          <w:rStyle w:val="32"/>
          <w:color w:val="auto"/>
          <w:sz w:val="22"/>
          <w:szCs w:val="22"/>
          <w:u w:val="none"/>
        </w:rPr>
        <w:t>[5]</w:t>
      </w:r>
      <w:r>
        <w:rPr>
          <w:rStyle w:val="32"/>
          <w:color w:val="auto"/>
          <w:sz w:val="22"/>
          <w:szCs w:val="22"/>
          <w:u w:val="none"/>
        </w:rPr>
        <w:fldChar w:fldCharType="end"/>
      </w:r>
      <w:r>
        <w:rPr>
          <w:color w:val="auto"/>
          <w:sz w:val="22"/>
          <w:szCs w:val="22"/>
        </w:rPr>
        <w:t>), and features like Self-Organizing Networks (SON) include energy savings policies. However, the scope of this proposal is on RAN physical layer and related signaling solutions.</w:t>
      </w:r>
    </w:p>
    <w:p w14:paraId="3958E554">
      <w:pPr>
        <w:pStyle w:val="17"/>
        <w:rPr>
          <w:rFonts w:hint="default" w:ascii="Times New Roman Bold" w:hAnsi="Times New Roman Bold" w:cs="Times New Roman Bold"/>
          <w:b/>
          <w:bCs/>
          <w:color w:val="auto"/>
          <w:sz w:val="22"/>
          <w:szCs w:val="22"/>
          <w:lang w:val="en-US" w:eastAsia="zh-CN"/>
        </w:rPr>
      </w:pPr>
      <w:r>
        <w:rPr>
          <w:rFonts w:hint="default" w:ascii="Times New Roman Bold" w:hAnsi="Times New Roman Bold" w:cs="Times New Roman Bold"/>
          <w:b/>
          <w:bCs/>
          <w:i/>
          <w:iCs/>
          <w:color w:val="auto"/>
          <w:sz w:val="22"/>
          <w:szCs w:val="22"/>
          <w:lang w:val="en-US"/>
        </w:rPr>
        <w:t>Proposal 1: Some part of Table 1 (</w:t>
      </w:r>
      <w:r>
        <w:rPr>
          <w:b/>
          <w:bCs/>
          <w:i/>
          <w:iCs/>
          <w:color w:val="auto"/>
          <w:sz w:val="22"/>
          <w:szCs w:val="22"/>
        </w:rPr>
        <w:t>summariz</w:t>
      </w:r>
      <w:r>
        <w:rPr>
          <w:rFonts w:hint="default"/>
          <w:b/>
          <w:bCs/>
          <w:i/>
          <w:iCs/>
          <w:color w:val="auto"/>
          <w:sz w:val="22"/>
          <w:szCs w:val="22"/>
          <w:lang w:val="en-US"/>
        </w:rPr>
        <w:t>ing for</w:t>
      </w:r>
      <w:r>
        <w:rPr>
          <w:b/>
          <w:bCs/>
          <w:i/>
          <w:iCs/>
          <w:color w:val="auto"/>
          <w:sz w:val="22"/>
          <w:szCs w:val="22"/>
        </w:rPr>
        <w:t xml:space="preserve"> key energy-saving features across LTE, IoT extensions, and 5G</w:t>
      </w:r>
      <w:r>
        <w:rPr>
          <w:rFonts w:hint="default" w:ascii="Times New Roman Bold" w:hAnsi="Times New Roman Bold" w:cs="Times New Roman Bold"/>
          <w:b/>
          <w:bCs/>
          <w:i/>
          <w:iCs/>
          <w:color w:val="auto"/>
          <w:sz w:val="22"/>
          <w:szCs w:val="22"/>
          <w:lang w:val="en-US"/>
        </w:rPr>
        <w:t>) shall be carefully considered to be inherited with 6G energy efficiency technologies.</w:t>
      </w:r>
    </w:p>
    <w:p w14:paraId="35D15B2D">
      <w:pPr>
        <w:pBdr>
          <w:bottom w:val="single" w:color="auto" w:sz="4" w:space="1"/>
        </w:pBdr>
        <w:spacing w:after="0"/>
        <w:jc w:val="left"/>
        <w:rPr>
          <w:b/>
          <w:kern w:val="2"/>
          <w:sz w:val="16"/>
          <w:szCs w:val="16"/>
          <w:lang w:eastAsia="zh-CN"/>
        </w:rPr>
      </w:pPr>
    </w:p>
    <w:p w14:paraId="7A20E0AE">
      <w:pPr>
        <w:pStyle w:val="2"/>
        <w:rPr>
          <w:rFonts w:hint="default"/>
          <w:lang w:val="en-US" w:eastAsia="zh-CN"/>
        </w:rPr>
      </w:pPr>
      <w:r>
        <w:rPr>
          <w:rFonts w:hint="eastAsia" w:eastAsia="等线"/>
          <w:i w:val="0"/>
          <w:iCs w:val="0"/>
          <w:lang w:val="en-US" w:eastAsia="zh-CN"/>
        </w:rPr>
        <w:t xml:space="preserve"> </w:t>
      </w:r>
      <w:r>
        <w:rPr>
          <w:rFonts w:hint="default" w:eastAsia="等线"/>
          <w:i w:val="0"/>
          <w:iCs w:val="0"/>
          <w:lang w:val="en-US" w:eastAsia="zh-CN"/>
        </w:rPr>
        <w:t>One key factor of 6G energy efficiency: terminal types or multi-capability terminal</w:t>
      </w:r>
    </w:p>
    <w:p w14:paraId="02232E80">
      <w:pPr>
        <w:rPr>
          <w:rFonts w:hint="default"/>
          <w:lang w:val="en-US" w:eastAsia="zh-CN"/>
        </w:rPr>
      </w:pPr>
      <w:r>
        <w:rPr>
          <w:rFonts w:hint="default"/>
          <w:lang w:val="en-US" w:eastAsia="zh-CN"/>
        </w:rPr>
        <w:t>This chapter provides a systematic comparison of different 3GPP terminal types (eMBB, RedCap, NB-IoT, and LTE Cat-M) in terms of power consumption characteristics, functional capabilities, and physical-layer air interface technologies. It also analyzes the technical challenges faced by multi-capability UEs that support multiple operational modes, focusing on RRC state management, mode switching, and power control. The comparison reveals a clear trade-off between performance and energy efficiency among different UE types, while multi-capability devices—despite their broader applicability—introduce additional hardware, signaling, and standby power overhead. To maintain both performance and efficiency in multi-mode operation, such UEs require advanced power-saving mechanisms such as eDRX, RRC_INACTIVE, and WUS, combined with coordinated optimization at the network level.</w:t>
      </w:r>
    </w:p>
    <w:p w14:paraId="0B0AF6F8">
      <w:pPr>
        <w:pStyle w:val="3"/>
        <w:rPr>
          <w:rFonts w:hint="default" w:eastAsia="宋体"/>
          <w:lang w:val="en-US" w:eastAsia="zh-CN"/>
        </w:rPr>
      </w:pPr>
      <w:r>
        <w:rPr>
          <w:rFonts w:hint="default" w:eastAsia="宋体"/>
          <w:lang w:val="en-US" w:eastAsia="zh-CN"/>
        </w:rPr>
        <w:t xml:space="preserve"> </w:t>
      </w:r>
      <w:r>
        <w:rPr>
          <w:rFonts w:hint="eastAsia" w:eastAsia="宋体"/>
          <w:lang w:val="en-US" w:eastAsia="zh-CN"/>
        </w:rPr>
        <w:t>Compariso</w:t>
      </w:r>
      <w:r>
        <w:rPr>
          <w:rFonts w:hint="default" w:eastAsia="宋体"/>
          <w:lang w:val="en-US" w:eastAsia="zh-CN"/>
        </w:rPr>
        <w:t>n of 3GPP terminal types</w:t>
      </w:r>
      <w:r>
        <w:rPr>
          <w:rFonts w:hint="eastAsia" w:eastAsia="宋体"/>
          <w:lang w:val="en-US" w:eastAsia="zh-CN"/>
        </w:rPr>
        <w:t xml:space="preserve"> from</w:t>
      </w:r>
      <w:r>
        <w:rPr>
          <w:rFonts w:hint="default" w:eastAsia="宋体"/>
          <w:lang w:val="en-US" w:eastAsia="zh-CN"/>
        </w:rPr>
        <w:t xml:space="preserve"> LTE to NR [13] </w:t>
      </w:r>
    </w:p>
    <w:p w14:paraId="504ECF7C">
      <w:pPr>
        <w:keepNext w:val="0"/>
        <w:keepLines w:val="0"/>
        <w:widowControl/>
        <w:suppressLineNumbers w:val="0"/>
        <w:jc w:val="center"/>
      </w:pPr>
      <w:r>
        <w:drawing>
          <wp:inline distT="0" distB="0" distL="114300" distR="114300">
            <wp:extent cx="4090035" cy="2534920"/>
            <wp:effectExtent l="0" t="0" r="24765" b="508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4090035" cy="2534920"/>
                    </a:xfrm>
                    <a:prstGeom prst="rect">
                      <a:avLst/>
                    </a:prstGeom>
                    <a:noFill/>
                    <a:ln>
                      <a:noFill/>
                    </a:ln>
                  </pic:spPr>
                </pic:pic>
              </a:graphicData>
            </a:graphic>
          </wp:inline>
        </w:drawing>
      </w:r>
    </w:p>
    <w:p w14:paraId="4725AE6B">
      <w:pPr>
        <w:keepNext w:val="0"/>
        <w:keepLines w:val="0"/>
        <w:widowControl/>
        <w:suppressLineNumbers w:val="0"/>
        <w:jc w:val="both"/>
        <w:rPr>
          <w:rFonts w:hint="default"/>
          <w:lang w:val="en-US" w:eastAsia="zh-CN"/>
        </w:rPr>
      </w:pPr>
      <w:r>
        <w:rPr>
          <w:rFonts w:hint="eastAsia"/>
          <w:lang w:val="en-US" w:eastAsia="zh-CN"/>
        </w:rPr>
        <w:t>In</w:t>
      </w:r>
      <w:r>
        <w:rPr>
          <w:rFonts w:hint="default"/>
          <w:lang w:val="en-US" w:eastAsia="zh-CN"/>
        </w:rPr>
        <w:t xml:space="preserve"> this subsection, we</w:t>
      </w:r>
      <w:r>
        <w:rPr>
          <w:rFonts w:hint="eastAsia"/>
          <w:lang w:val="en-US" w:eastAsia="zh-CN"/>
        </w:rPr>
        <w:t xml:space="preserve"> will</w:t>
      </w:r>
      <w:r>
        <w:rPr>
          <w:rFonts w:hint="default"/>
          <w:lang w:val="en-US" w:eastAsia="zh-CN"/>
        </w:rPr>
        <w:t xml:space="preserve"> discuss existing terminal types from LTE to NR.</w:t>
      </w:r>
    </w:p>
    <w:p w14:paraId="6B40924D">
      <w:pPr>
        <w:keepNext w:val="0"/>
        <w:keepLines w:val="0"/>
        <w:widowControl/>
        <w:suppressLineNumbers w:val="0"/>
        <w:jc w:val="both"/>
      </w:pPr>
      <w:r>
        <w:rPr>
          <w:rFonts w:hint="eastAsia"/>
        </w:rPr>
        <w:t xml:space="preserve">The figure illustrates the trade-off between terminal capability and relative power consumption for four 3GPP terminal types: NB-IoT, LTE Cat-M1, NR RedCap, and </w:t>
      </w:r>
      <w:r>
        <w:rPr>
          <w:rFonts w:hint="default"/>
          <w:lang w:val="en-US"/>
        </w:rPr>
        <w:t>NR</w:t>
      </w:r>
      <w:r>
        <w:rPr>
          <w:rFonts w:hint="eastAsia"/>
        </w:rPr>
        <w:t xml:space="preserve"> eMBB. Each point represents a typical device profile, with the horizontal axis reflecting throughput and feature richness, and the vertical axis showing a unitless power index—higher values correspond to greater typical power draw. The connected line indicates the evolutionary path from low-power, low-capability IoT devices to high-performance, high-power eMBB devices. Call-outs highlight the distinguishing features of each category: NB-IoT</w:t>
      </w:r>
      <w:r>
        <w:rPr>
          <w:rFonts w:hint="default"/>
          <w:lang w:val="en-US"/>
        </w:rPr>
        <w:t>’</w:t>
      </w:r>
      <w:r>
        <w:rPr>
          <w:rFonts w:hint="eastAsia"/>
        </w:rPr>
        <w:t>s multi-year battery life enabled by PSM/eDRX; LTE Cat-M1</w:t>
      </w:r>
      <w:r>
        <w:rPr>
          <w:rFonts w:hint="default"/>
          <w:lang w:val="en-US"/>
        </w:rPr>
        <w:t>’</w:t>
      </w:r>
      <w:r>
        <w:rPr>
          <w:rFonts w:hint="eastAsia"/>
        </w:rPr>
        <w:t>s added mobility and voice support; NR RedCap’s role in bridging IoT and 5G with moderate bandwidth and simplified RF; and eMBB</w:t>
      </w:r>
      <w:r>
        <w:rPr>
          <w:rFonts w:hint="default"/>
          <w:lang w:val="en-US"/>
        </w:rPr>
        <w:t>’</w:t>
      </w:r>
      <w:r>
        <w:rPr>
          <w:rFonts w:hint="eastAsia"/>
        </w:rPr>
        <w:t>s peak performance with advanced features like MIMO, carrier aggregation, and wide bandwidth. This visual emphasizes that achieving higher capability generally incurs greater power consumption, guiding design trade-offs in terminal development and standardization.</w:t>
      </w:r>
    </w:p>
    <w:p w14:paraId="3A6DF52F">
      <w:pPr>
        <w:pStyle w:val="83"/>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2 Comparison of 3GPP terminal types from LTE to NR </w:t>
      </w:r>
    </w:p>
    <w:tbl>
      <w:tblPr>
        <w:tblStyle w:val="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9"/>
        <w:gridCol w:w="2280"/>
        <w:gridCol w:w="2507"/>
        <w:gridCol w:w="3137"/>
      </w:tblGrid>
      <w:tr w14:paraId="6ECAEFD2">
        <w:tc>
          <w:tcPr>
            <w:tcBorders>
              <w:tl2br w:val="nil"/>
              <w:tr2bl w:val="nil"/>
            </w:tcBorders>
            <w:vAlign w:val="top"/>
          </w:tcPr>
          <w:p w14:paraId="17238DF5">
            <w:pPr>
              <w:pStyle w:val="84"/>
            </w:pPr>
            <w:r>
              <w:rPr>
                <w:b/>
                <w:bCs/>
              </w:rPr>
              <w:t>Terminal Type</w:t>
            </w:r>
          </w:p>
        </w:tc>
        <w:tc>
          <w:tcPr>
            <w:tcBorders>
              <w:tl2br w:val="nil"/>
              <w:tr2bl w:val="nil"/>
            </w:tcBorders>
            <w:vAlign w:val="top"/>
          </w:tcPr>
          <w:p w14:paraId="2891B922">
            <w:pPr>
              <w:pStyle w:val="84"/>
            </w:pPr>
            <w:r>
              <w:rPr>
                <w:b/>
                <w:bCs/>
              </w:rPr>
              <w:t>Power Consumption</w:t>
            </w:r>
            <w:r>
              <w:t xml:space="preserve"> (Battery Life &amp; Power Features)</w:t>
            </w:r>
          </w:p>
        </w:tc>
        <w:tc>
          <w:tcPr>
            <w:tcBorders>
              <w:tl2br w:val="nil"/>
              <w:tr2bl w:val="nil"/>
            </w:tcBorders>
            <w:vAlign w:val="top"/>
          </w:tcPr>
          <w:p w14:paraId="062E15FA">
            <w:pPr>
              <w:pStyle w:val="84"/>
            </w:pPr>
            <w:r>
              <w:rPr>
                <w:b/>
                <w:bCs/>
              </w:rPr>
              <w:t>Functional Capability</w:t>
            </w:r>
            <w:r>
              <w:t xml:space="preserve"> (Use Case &amp; Data Rates)</w:t>
            </w:r>
          </w:p>
        </w:tc>
        <w:tc>
          <w:tcPr>
            <w:tcBorders>
              <w:tl2br w:val="nil"/>
              <w:tr2bl w:val="nil"/>
            </w:tcBorders>
            <w:vAlign w:val="top"/>
          </w:tcPr>
          <w:p w14:paraId="07FF0EC6">
            <w:pPr>
              <w:pStyle w:val="84"/>
            </w:pPr>
            <w:r>
              <w:rPr>
                <w:b/>
                <w:bCs/>
              </w:rPr>
              <w:t>Physical Layer Technologies</w:t>
            </w:r>
            <w:r>
              <w:t xml:space="preserve"> (Bandwidth, Antenna, Duplex, Modulation)</w:t>
            </w:r>
          </w:p>
        </w:tc>
      </w:tr>
      <w:tr w14:paraId="1C9DCF90">
        <w:tc>
          <w:tcPr>
            <w:tcBorders>
              <w:tl2br w:val="nil"/>
              <w:tr2bl w:val="nil"/>
            </w:tcBorders>
          </w:tcPr>
          <w:p w14:paraId="68D2C4F1">
            <w:pPr>
              <w:pStyle w:val="84"/>
            </w:pPr>
            <w:r>
              <w:rPr>
                <w:b/>
                <w:bCs/>
              </w:rPr>
              <w:t>NB-IoT</w:t>
            </w:r>
            <w:r>
              <w:t xml:space="preserve">   (NB-IoT)</w:t>
            </w:r>
          </w:p>
        </w:tc>
        <w:tc>
          <w:tcPr>
            <w:tcBorders>
              <w:tl2br w:val="nil"/>
              <w:tr2bl w:val="nil"/>
            </w:tcBorders>
          </w:tcPr>
          <w:p w14:paraId="52B9F1C3">
            <w:pPr>
              <w:pStyle w:val="84"/>
            </w:pPr>
            <w:r>
              <w:rPr>
                <w:rFonts w:hint="default" w:ascii="Times New Roman Bold Italic" w:hAnsi="Times New Roman Bold Italic" w:cs="Times New Roman Bold Italic"/>
                <w:b/>
                <w:bCs/>
                <w:i/>
                <w:iCs/>
              </w:rPr>
              <w:t>Ultra-low power</w:t>
            </w:r>
            <w:r>
              <w:t xml:space="preserve"> for massive IoT</w:t>
            </w:r>
            <w:r>
              <w:rPr>
                <w:rFonts w:hint="default"/>
                <w:lang w:val="en-US"/>
              </w:rPr>
              <w:t xml:space="preserve">: </w:t>
            </w:r>
            <w:r>
              <w:t>10+ year battery on  cell in many use cases. Implements PSM (deep sleep for days) and eDRX (sleep cycles of minutes/hours) to minimize wake-ups. Idle and connected DRX are extremely extended, trading latency for energy.</w:t>
            </w:r>
          </w:p>
        </w:tc>
        <w:tc>
          <w:tcPr>
            <w:tcBorders>
              <w:tl2br w:val="nil"/>
              <w:tr2bl w:val="nil"/>
            </w:tcBorders>
          </w:tcPr>
          <w:p w14:paraId="0085DEC1">
            <w:pPr>
              <w:pStyle w:val="84"/>
            </w:pPr>
            <w:r>
              <w:t xml:space="preserve">Aimed at </w:t>
            </w:r>
            <w:r>
              <w:rPr>
                <w:b/>
                <w:bCs/>
              </w:rPr>
              <w:t>small, infrequent data</w:t>
            </w:r>
            <w:r>
              <w:t xml:space="preserve"> (telemetry, meters). Uplink &lt;~20–60 kbps, downlink tens of kbps. High latency (seconds) tolerable. No voice or real-time traffic (primarily SMS or lightweight IP via CP). Excellent indoor/underground coverage (164 dB MCL) with message repetition for reach.</w:t>
            </w:r>
          </w:p>
        </w:tc>
        <w:tc>
          <w:tcPr>
            <w:tcBorders>
              <w:tl2br w:val="nil"/>
              <w:tr2bl w:val="nil"/>
            </w:tcBorders>
          </w:tcPr>
          <w:p w14:paraId="265ECF2B">
            <w:pPr>
              <w:pStyle w:val="84"/>
            </w:pPr>
            <w:r>
              <w:t xml:space="preserve">Narrow 180 kHz LTE carrier (single PRB). OFDMA downlink / SC-FDMA or single-tone uplink. </w:t>
            </w:r>
            <w:r>
              <w:rPr>
                <w:b/>
                <w:bCs/>
              </w:rPr>
              <w:t>No MIMO</w:t>
            </w:r>
            <w:r>
              <w:t xml:space="preserve"> (1 antenna). </w:t>
            </w:r>
            <w:r>
              <w:rPr>
                <w:b/>
                <w:bCs/>
              </w:rPr>
              <w:t>Half-duplex</w:t>
            </w:r>
            <w:r>
              <w:t xml:space="preserve"> FDD operation. Simplified channel coding (convolutional codes for DL, turbo for UL; no LDPC). Supports QPSK (and BPSK) modulation only (no 16/64-QAM to keep complexity low).</w:t>
            </w:r>
          </w:p>
        </w:tc>
      </w:tr>
      <w:tr w14:paraId="58ACE8C5">
        <w:tc>
          <w:tcPr>
            <w:tcBorders>
              <w:tl2br w:val="nil"/>
              <w:tr2bl w:val="nil"/>
            </w:tcBorders>
          </w:tcPr>
          <w:p w14:paraId="22D4C36D">
            <w:pPr>
              <w:pStyle w:val="84"/>
            </w:pPr>
            <w:r>
              <w:rPr>
                <w:b/>
                <w:bCs/>
              </w:rPr>
              <w:t>LTE Cat-M1</w:t>
            </w:r>
            <w:r>
              <w:t xml:space="preserve"> (LTE-M) </w:t>
            </w:r>
          </w:p>
        </w:tc>
        <w:tc>
          <w:tcPr>
            <w:tcBorders>
              <w:tl2br w:val="nil"/>
              <w:tr2bl w:val="nil"/>
            </w:tcBorders>
          </w:tcPr>
          <w:p w14:paraId="27BA0963">
            <w:pPr>
              <w:pStyle w:val="84"/>
            </w:pPr>
            <w:r>
              <w:rPr>
                <w:rFonts w:hint="default" w:ascii="Times New Roman Bold Italic" w:hAnsi="Times New Roman Bold Italic" w:cs="Times New Roman Bold Italic"/>
                <w:b/>
                <w:bCs/>
                <w:i/>
                <w:iCs/>
              </w:rPr>
              <w:t>Very low power</w:t>
            </w:r>
            <w:r>
              <w:t>: battery ~5–10 years in IoT scenarios. Supports PSM and eDRX like NB-IoT (e.g. sleep for tens of minutes), but with slightly higher active power due to larger bandwidth and higher data bursts. Still far more power-efficient than smartphones.</w:t>
            </w:r>
          </w:p>
        </w:tc>
        <w:tc>
          <w:tcPr>
            <w:tcBorders>
              <w:tl2br w:val="nil"/>
              <w:tr2bl w:val="nil"/>
            </w:tcBorders>
          </w:tcPr>
          <w:p w14:paraId="2D7F0784">
            <w:pPr>
              <w:pStyle w:val="84"/>
            </w:pPr>
            <w:r>
              <w:rPr>
                <w:b/>
                <w:bCs/>
              </w:rPr>
              <w:t>Moderate IoT data, plus mobility</w:t>
            </w:r>
            <w:r>
              <w:t>. Typical throughput up to 200–300 kbps (max ~1 Mbps), allowing periodic images or firmware updates. Supports VoLTE for voice and full IP connectivity</w:t>
            </w:r>
            <w:r>
              <w:rPr>
                <w:rFonts w:hint="default"/>
                <w:lang w:val="en-US"/>
              </w:rPr>
              <w:t>.</w:t>
            </w:r>
            <w:r>
              <w:t xml:space="preserve"> Designed for IoT with some mobility (supports handover), so suitable for asset trackers, wearables, industrial sensors requiring moderate data and real-time ability.</w:t>
            </w:r>
          </w:p>
        </w:tc>
        <w:tc>
          <w:tcPr>
            <w:tcBorders>
              <w:tl2br w:val="nil"/>
              <w:tr2bl w:val="nil"/>
            </w:tcBorders>
          </w:tcPr>
          <w:p w14:paraId="533A6C32">
            <w:pPr>
              <w:pStyle w:val="84"/>
            </w:pPr>
            <w:r>
              <w:t xml:space="preserve">LTE 1.4 MHz bandwidth (6 PRBs). Standard LTE PHY with OFDMA/SC-FDMA. </w:t>
            </w:r>
            <w:r>
              <w:rPr>
                <w:b/>
                <w:bCs/>
              </w:rPr>
              <w:t>1 antenna (1×1)</w:t>
            </w:r>
            <w:r>
              <w:t xml:space="preserve"> normally; optional 2Rx diversity. Supports </w:t>
            </w:r>
            <w:r>
              <w:rPr>
                <w:b/>
                <w:bCs/>
              </w:rPr>
              <w:t>half-duplex FDD</w:t>
            </w:r>
            <w:r>
              <w:t xml:space="preserve"> to reduce RF complexity (can also do full duplex FDD or TDD if needed). Uses LTE turbo coding and up to 64-QAM modulation in good signal conditions (typically QPSK in poor coverage with repetitions for ~156 dB MCL).</w:t>
            </w:r>
          </w:p>
        </w:tc>
      </w:tr>
      <w:tr w14:paraId="2BBB0D46">
        <w:tc>
          <w:tcPr>
            <w:tcBorders>
              <w:tl2br w:val="nil"/>
              <w:tr2bl w:val="nil"/>
            </w:tcBorders>
          </w:tcPr>
          <w:p w14:paraId="1824E3A8">
            <w:pPr>
              <w:pStyle w:val="84"/>
            </w:pPr>
            <w:r>
              <w:rPr>
                <w:b/>
                <w:bCs/>
              </w:rPr>
              <w:t xml:space="preserve">NR </w:t>
            </w:r>
            <w:r>
              <w:rPr>
                <w:b/>
                <w:bCs/>
                <w:lang w:val="en-US"/>
              </w:rPr>
              <w:t>RedCap</w:t>
            </w:r>
            <w:r>
              <w:t xml:space="preserve">(Rel-17) </w:t>
            </w:r>
          </w:p>
        </w:tc>
        <w:tc>
          <w:tcPr>
            <w:tcBorders>
              <w:tl2br w:val="nil"/>
              <w:tr2bl w:val="nil"/>
            </w:tcBorders>
          </w:tcPr>
          <w:p w14:paraId="6F475E8E">
            <w:pPr>
              <w:pStyle w:val="84"/>
            </w:pPr>
            <w:r>
              <w:rPr>
                <w:rFonts w:hint="default" w:ascii="Times New Roman Bold Italic" w:hAnsi="Times New Roman Bold Italic" w:cs="Times New Roman Bold Italic"/>
                <w:b/>
                <w:bCs/>
                <w:i/>
                <w:iCs/>
              </w:rPr>
              <w:t>Lower power 5G UE</w:t>
            </w:r>
            <w:r>
              <w:rPr>
                <w:rFonts w:hint="default" w:ascii="Times New Roman Bold Italic" w:hAnsi="Times New Roman Bold Italic" w:cs="Times New Roman Bold Italic"/>
                <w:b/>
                <w:bCs/>
              </w:rPr>
              <w:t>:</w:t>
            </w:r>
            <w:r>
              <w:t xml:space="preserve"> aims for longer battery life than standard NR. Supports </w:t>
            </w:r>
            <w:r>
              <w:rPr>
                <w:b w:val="0"/>
                <w:bCs w:val="0"/>
              </w:rPr>
              <w:t xml:space="preserve">RRC Inactive, </w:t>
            </w:r>
            <w:r>
              <w:t xml:space="preserve">eDRX and WUS in 5G like LTE-M/NB-IoT (Rel-17+ networks can configure </w:t>
            </w:r>
            <w:r>
              <w:rPr>
                <w:lang w:val="en-US"/>
              </w:rPr>
              <w:t>RedCap</w:t>
            </w:r>
            <w:r>
              <w:t xml:space="preserve">with long sleep cycles). A </w:t>
            </w:r>
            <w:r>
              <w:rPr>
                <w:lang w:val="en-US"/>
              </w:rPr>
              <w:t>RedCap</w:t>
            </w:r>
            <w:r>
              <w:t xml:space="preserve">wearable might last ~1 week on charge, and an industrial </w:t>
            </w:r>
            <w:r>
              <w:rPr>
                <w:lang w:val="en-US"/>
              </w:rPr>
              <w:t>RedCap</w:t>
            </w:r>
            <w:r>
              <w:t>sensor could achieve multi-year battery life under infrequent use. Power use is higher than NB-IoT/LTE-M but significantly less than eMBB UE, due to reduced RF chains and bandwidth.</w:t>
            </w:r>
          </w:p>
        </w:tc>
        <w:tc>
          <w:tcPr>
            <w:tcBorders>
              <w:tl2br w:val="nil"/>
              <w:tr2bl w:val="nil"/>
            </w:tcBorders>
          </w:tcPr>
          <w:p w14:paraId="19C0B6F5">
            <w:pPr>
              <w:pStyle w:val="84"/>
            </w:pPr>
            <w:r>
              <w:rPr>
                <w:b/>
                <w:bCs/>
              </w:rPr>
              <w:t>Mid-tier “broadband IoT”</w:t>
            </w:r>
            <w:r>
              <w:t xml:space="preserve"> device</w:t>
            </w:r>
            <w:r>
              <w:rPr>
                <w:rFonts w:hint="default"/>
                <w:lang w:val="en-US"/>
              </w:rPr>
              <w:t>:</w:t>
            </w:r>
            <w:r>
              <w:t xml:space="preserve">supports </w:t>
            </w:r>
            <w:r>
              <w:rPr>
                <w:b/>
                <w:bCs/>
              </w:rPr>
              <w:t>medium data rates</w:t>
            </w:r>
            <w:r>
              <w:t xml:space="preserve"> (peak ~100</w:t>
            </w:r>
            <w:r>
              <w:rPr>
                <w:rFonts w:hint="eastAsia"/>
                <w:lang w:val="en-US" w:eastAsia="zh-CN"/>
              </w:rPr>
              <w:t>-</w:t>
            </w:r>
            <w:r>
              <w:t>150 Mbps DL, ~50 Mbps UL in 20 MHz) for use cases like video-enabled wearables, industrial AR sensors, etc. Latency is moderate/low (in tens of ms, since it’s still 5G NR), and supports most NR features except the highest-throughput ones. Lacks URLLC</w:t>
            </w:r>
            <w:r>
              <w:rPr>
                <w:rFonts w:hint="default"/>
                <w:lang w:val="en-US"/>
              </w:rPr>
              <w:t xml:space="preserve"> </w:t>
            </w:r>
            <w:r>
              <w:t>extremes, but fills the gap between narrowband IoT and full 5G.</w:t>
            </w:r>
          </w:p>
        </w:tc>
        <w:tc>
          <w:tcPr>
            <w:tcBorders>
              <w:tl2br w:val="nil"/>
              <w:tr2bl w:val="nil"/>
            </w:tcBorders>
          </w:tcPr>
          <w:p w14:paraId="53340719">
            <w:pPr>
              <w:pStyle w:val="84"/>
            </w:pPr>
            <w:r>
              <w:t xml:space="preserve">5G NR waveform (CP-OFDM/DFT-s-OFDM) but </w:t>
            </w:r>
            <w:r>
              <w:rPr>
                <w:b/>
                <w:bCs/>
              </w:rPr>
              <w:t>bandwidth capped at 20 MHz</w:t>
            </w:r>
            <w:r>
              <w:t xml:space="preserve">. </w:t>
            </w:r>
            <w:r>
              <w:rPr>
                <w:b/>
                <w:bCs/>
              </w:rPr>
              <w:t>Single antenna (1×1)</w:t>
            </w:r>
            <w:r>
              <w:t xml:space="preserve">; no Carrier Aggregation or Dual Connectivity. Supports optional </w:t>
            </w:r>
            <w:r>
              <w:rPr>
                <w:b/>
                <w:bCs/>
              </w:rPr>
              <w:t>half-duplex</w:t>
            </w:r>
            <w:r>
              <w:t xml:space="preserve"> FDD mode to simplify RF hardware. Max modulation 64-QAM (mandatory); 256-QAM optional for 33% higher peak rate. Uses standard NR LDPC and Polar codes, but with fewer layers/streams (up to 8 data radio bearers vs 16 in full NR). Overall PHY complexity is roughly comparable to an early LTE Category 4 UE, per design targets.</w:t>
            </w:r>
          </w:p>
        </w:tc>
      </w:tr>
      <w:tr w14:paraId="139C7CBB">
        <w:tc>
          <w:tcPr>
            <w:tcBorders>
              <w:tl2br w:val="nil"/>
              <w:tr2bl w:val="nil"/>
            </w:tcBorders>
          </w:tcPr>
          <w:p w14:paraId="19417F29">
            <w:pPr>
              <w:pStyle w:val="84"/>
            </w:pPr>
            <w:r>
              <w:rPr>
                <w:b/>
                <w:bCs/>
              </w:rPr>
              <w:t>5G eMBB UE</w:t>
            </w:r>
            <w:r>
              <w:t xml:space="preserve"> (Rel-15+) </w:t>
            </w:r>
          </w:p>
        </w:tc>
        <w:tc>
          <w:tcPr>
            <w:tcBorders>
              <w:tl2br w:val="nil"/>
              <w:tr2bl w:val="nil"/>
            </w:tcBorders>
          </w:tcPr>
          <w:p w14:paraId="577C5433">
            <w:pPr>
              <w:pStyle w:val="84"/>
            </w:pPr>
            <w:r>
              <w:rPr>
                <w:rFonts w:hint="default" w:ascii="Times New Roman Bold Italic" w:hAnsi="Times New Roman Bold Italic" w:cs="Times New Roman Bold Italic"/>
                <w:b/>
                <w:bCs/>
                <w:i/>
                <w:iCs/>
              </w:rPr>
              <w:t>High power consumption</w:t>
            </w:r>
            <w:r>
              <w:t>: designed for performance, not prolonged battery – smartphones need daily charging. Uses DRX, fast dormancy, etc., to save power when idle, but continuous high data use drains battery quickly. Advanced 5G features (e.g. mmWave, 4×4 MIMO) further tax power. Not suitable for multi-year battery operation.</w:t>
            </w:r>
          </w:p>
        </w:tc>
        <w:tc>
          <w:tcPr>
            <w:tcBorders>
              <w:tl2br w:val="nil"/>
              <w:tr2bl w:val="nil"/>
            </w:tcBorders>
          </w:tcPr>
          <w:p w14:paraId="42BC983E">
            <w:pPr>
              <w:pStyle w:val="84"/>
            </w:pPr>
            <w:r>
              <w:rPr>
                <w:b/>
                <w:bCs/>
              </w:rPr>
              <w:t>Enhanced Mobile Broadband</w:t>
            </w:r>
            <w:r>
              <w:t xml:space="preserve"> – supports </w:t>
            </w:r>
            <w:r>
              <w:rPr>
                <w:b/>
                <w:bCs/>
              </w:rPr>
              <w:t>extreme data rates</w:t>
            </w:r>
            <w:r>
              <w:t xml:space="preserve"> (hundreds of Mbps to &gt;1 Gbps) and advanced capabilities (e.g. 4K video streaming, AR/VR). Also supports other 5G use cases (URLLC, etc.) if device and network enabled. Fully mobile (high-speed handovers), low latency (~10 ms achievable), high reliability for consumer and enterprise broadband applications.</w:t>
            </w:r>
          </w:p>
        </w:tc>
        <w:tc>
          <w:tcPr>
            <w:tcBorders>
              <w:tl2br w:val="nil"/>
              <w:tr2bl w:val="nil"/>
            </w:tcBorders>
          </w:tcPr>
          <w:p w14:paraId="37DF6483">
            <w:pPr>
              <w:pStyle w:val="84"/>
            </w:pPr>
            <w:r>
              <w:t xml:space="preserve">Wide bandwidth (up to 100 MHz on FR1, 400 MHz on FR2 mmWave). NR waveform with full feature set. Typically </w:t>
            </w:r>
            <w:r>
              <w:rPr>
                <w:b/>
                <w:bCs/>
              </w:rPr>
              <w:t>2×2 or 4×4 MIMO</w:t>
            </w:r>
            <w:r>
              <w:t xml:space="preserve"> in device; gNB uses Massive MIMO and beamforming. Full-duplex FDD and TDD supported. High-order modulation (256-QAM in DL/UL</w:t>
            </w:r>
            <w:r>
              <w:rPr>
                <w:rFonts w:hint="eastAsia"/>
                <w:lang w:val="en-US" w:eastAsia="zh-CN"/>
              </w:rPr>
              <w:t xml:space="preserve"> or</w:t>
            </w:r>
            <w:r>
              <w:rPr>
                <w:rFonts w:hint="default"/>
                <w:lang w:val="en-US" w:eastAsia="zh-CN"/>
              </w:rPr>
              <w:t xml:space="preserve"> higher order modulation</w:t>
            </w:r>
            <w:r>
              <w:t>). Advanced channel coding (LDPC for data, Polar for control). Supports dual connectivity, carrier aggregation across bands, etc., to maximize throughput.</w:t>
            </w:r>
          </w:p>
        </w:tc>
      </w:tr>
    </w:tbl>
    <w:p w14:paraId="40EAB734">
      <w:pPr>
        <w:numPr>
          <w:ilvl w:val="0"/>
          <w:numId w:val="0"/>
        </w:numPr>
        <w:ind w:leftChars="0"/>
        <w:rPr>
          <w:rFonts w:hint="default"/>
          <w:lang w:val="en-US" w:eastAsia="zh-CN"/>
        </w:rPr>
      </w:pPr>
    </w:p>
    <w:p w14:paraId="40FFBC73">
      <w:pPr>
        <w:keepNext w:val="0"/>
        <w:keepLines w:val="0"/>
        <w:widowControl/>
        <w:suppressLineNumbers w:val="0"/>
        <w:jc w:val="both"/>
        <w:rPr>
          <w:rFonts w:hint="default" w:ascii="Times New Roman Bold Italic" w:hAnsi="Times New Roman Bold Italic" w:cs="Times New Roman Bold Italic"/>
          <w:i/>
          <w:iCs/>
          <w:lang w:val="en-US" w:eastAsia="zh-CN"/>
        </w:rPr>
      </w:pPr>
      <w:r>
        <w:rPr>
          <w:rFonts w:hint="default" w:ascii="Times New Roman Bold Italic" w:hAnsi="Times New Roman Bold Italic" w:cs="Times New Roman Bold Italic"/>
          <w:b/>
          <w:bCs/>
          <w:i/>
          <w:iCs/>
          <w:color w:val="auto"/>
          <w:lang w:val="en-US"/>
        </w:rPr>
        <w:t xml:space="preserve">Observation 3: 3GPP has discussed different terminal types in terms of power consumption characteristics, functional capabilities, and physical-layer air interface technologies including </w:t>
      </w:r>
      <w:r>
        <w:rPr>
          <w:rFonts w:hint="default" w:ascii="Times New Roman Bold Italic" w:hAnsi="Times New Roman Bold Italic" w:eastAsia="宋体" w:cs="Times New Roman Bold Italic"/>
          <w:b/>
          <w:bCs/>
          <w:i/>
          <w:iCs/>
          <w:color w:val="auto"/>
          <w:lang w:val="en-US"/>
        </w:rPr>
        <w:t xml:space="preserve">NB-IoT, LTE Cat-M1, NR </w:t>
      </w:r>
      <w:r>
        <w:rPr>
          <w:rFonts w:hint="default" w:ascii="Times New Roman Bold Italic" w:hAnsi="Times New Roman Bold Italic" w:cs="Times New Roman Bold Italic"/>
          <w:b/>
          <w:bCs/>
          <w:i/>
          <w:iCs/>
          <w:color w:val="auto"/>
          <w:lang w:val="en-US"/>
        </w:rPr>
        <w:t>(e)</w:t>
      </w:r>
      <w:r>
        <w:rPr>
          <w:rFonts w:hint="default" w:ascii="Times New Roman Bold Italic" w:hAnsi="Times New Roman Bold Italic" w:eastAsia="宋体" w:cs="Times New Roman Bold Italic"/>
          <w:b/>
          <w:bCs/>
          <w:i/>
          <w:iCs/>
          <w:color w:val="auto"/>
          <w:lang w:val="en-US"/>
        </w:rPr>
        <w:t>RedCap, and NR eMBB.</w:t>
      </w:r>
    </w:p>
    <w:p w14:paraId="61200658">
      <w:pPr>
        <w:numPr>
          <w:ilvl w:val="0"/>
          <w:numId w:val="0"/>
        </w:numPr>
        <w:ind w:leftChars="0"/>
        <w:rPr>
          <w:rFonts w:hint="default"/>
          <w:lang w:val="en-US" w:eastAsia="zh-CN"/>
        </w:rPr>
      </w:pPr>
      <w:r>
        <w:rPr>
          <w:rFonts w:hint="eastAsia"/>
          <w:lang w:val="en-US" w:eastAsia="zh-CN"/>
        </w:rPr>
        <w:t>In</w:t>
      </w:r>
      <w:r>
        <w:rPr>
          <w:rFonts w:hint="default"/>
          <w:lang w:val="en-US" w:eastAsia="zh-CN"/>
        </w:rPr>
        <w:t xml:space="preserve"> addition, we briefly give SFO/CFO requirement</w:t>
      </w:r>
      <w:r>
        <w:rPr>
          <w:rFonts w:hint="eastAsia"/>
          <w:lang w:val="en-US" w:eastAsia="zh-CN"/>
        </w:rPr>
        <w:t>s</w:t>
      </w:r>
      <w:r>
        <w:rPr>
          <w:rFonts w:hint="default"/>
          <w:lang w:val="en-US" w:eastAsia="zh-CN"/>
        </w:rPr>
        <w:t xml:space="preserve"> as below table 3. It can be observed that NB-IoT, designed for low-cost and ultra-low-power operation, has the most relaxed requirement (±20 ppm), tolerating significant local oscillator and Doppler offsets. LTE Cat-M, NR RedCap, and 5G eMBB in FR1 bands typically require ±0.1 ppm accuracy during normal operation (relaxed to ±0.5 ppm for initial synchronization) to maintain link quality at higher modulation orders and wider bandwidths. For 5G eMBB in FR2 (mmWave) scenarios, the requirement is stricter</w:t>
      </w:r>
      <w:r>
        <w:rPr>
          <w:rFonts w:hint="eastAsia"/>
          <w:lang w:val="en-US" w:eastAsia="zh-CN"/>
        </w:rPr>
        <w:t xml:space="preserve"> </w:t>
      </w:r>
      <w:r>
        <w:rPr>
          <w:rFonts w:hint="default"/>
          <w:lang w:val="en-US" w:eastAsia="zh-CN"/>
        </w:rPr>
        <w:t>(around ±0.05 ppm) due to the higher sensitivity of mmWave frequencies to phase noise and frequency offsets.</w:t>
      </w:r>
    </w:p>
    <w:p w14:paraId="075ED2F3">
      <w:pPr>
        <w:numPr>
          <w:ilvl w:val="0"/>
          <w:numId w:val="0"/>
        </w:numPr>
        <w:ind w:leftChars="0"/>
        <w:jc w:val="center"/>
        <w:rPr>
          <w:rFonts w:hint="default" w:ascii="Times New Roman Italic" w:hAnsi="Times New Roman Italic" w:cs="Times New Roman Italic"/>
          <w:i/>
          <w:iCs/>
          <w:lang w:val="en-US" w:eastAsia="zh-CN"/>
        </w:rPr>
      </w:pPr>
      <w:r>
        <w:rPr>
          <w:rFonts w:hint="default" w:ascii="Times New Roman Italic" w:hAnsi="Times New Roman Italic" w:cs="Times New Roman Italic"/>
          <w:i/>
          <w:iCs/>
          <w:lang w:val="en-US" w:eastAsia="zh-CN"/>
        </w:rPr>
        <w:t>Table 3 SFO/CFO comparison of different terminal types</w:t>
      </w:r>
    </w:p>
    <w:tbl>
      <w:tblPr>
        <w:tblStyle w:val="28"/>
        <w:tblW w:w="9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2123"/>
        <w:gridCol w:w="1809"/>
        <w:gridCol w:w="1955"/>
        <w:gridCol w:w="1967"/>
      </w:tblGrid>
      <w:tr w14:paraId="79727737">
        <w:tc>
          <w:tcPr>
            <w:tcW w:w="1364" w:type="dxa"/>
            <w:shd w:val="clear" w:color="auto" w:fill="auto"/>
            <w:vAlign w:val="center"/>
          </w:tcPr>
          <w:p w14:paraId="19D8E73F">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Terminal Type</w:t>
            </w:r>
          </w:p>
        </w:tc>
        <w:tc>
          <w:tcPr>
            <w:tcW w:w="2178" w:type="dxa"/>
            <w:shd w:val="clear" w:color="auto" w:fill="auto"/>
            <w:vAlign w:val="center"/>
          </w:tcPr>
          <w:p w14:paraId="4893DDC1">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CFO Tolerance (Normal Operation)</w:t>
            </w:r>
          </w:p>
        </w:tc>
        <w:tc>
          <w:tcPr>
            <w:tcW w:w="1849" w:type="dxa"/>
            <w:shd w:val="clear" w:color="auto" w:fill="auto"/>
            <w:vAlign w:val="center"/>
          </w:tcPr>
          <w:p w14:paraId="3A429DEA">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CFO Tolerance (Initial Sync)</w:t>
            </w:r>
          </w:p>
        </w:tc>
        <w:tc>
          <w:tcPr>
            <w:tcW w:w="2002" w:type="dxa"/>
            <w:shd w:val="clear" w:color="auto" w:fill="auto"/>
            <w:vAlign w:val="center"/>
          </w:tcPr>
          <w:p w14:paraId="0D9ECA85">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SFO Stability (Sampling Offset)</w:t>
            </w:r>
          </w:p>
        </w:tc>
        <w:tc>
          <w:tcPr>
            <w:tcW w:w="2024" w:type="dxa"/>
            <w:shd w:val="clear" w:color="auto" w:fill="auto"/>
            <w:vAlign w:val="center"/>
          </w:tcPr>
          <w:p w14:paraId="27A4B554">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Notes</w:t>
            </w:r>
          </w:p>
        </w:tc>
      </w:tr>
      <w:tr w14:paraId="7012C0EF">
        <w:tc>
          <w:tcPr>
            <w:tcW w:w="1364" w:type="dxa"/>
            <w:shd w:val="clear" w:color="auto" w:fill="auto"/>
            <w:vAlign w:val="center"/>
          </w:tcPr>
          <w:p w14:paraId="406281B0">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NB-IoT</w:t>
            </w:r>
          </w:p>
        </w:tc>
        <w:tc>
          <w:tcPr>
            <w:tcW w:w="2178" w:type="dxa"/>
            <w:shd w:val="clear" w:color="auto" w:fill="auto"/>
            <w:vAlign w:val="center"/>
          </w:tcPr>
          <w:p w14:paraId="158E2CEF">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±20 ppm</w:t>
            </w:r>
          </w:p>
        </w:tc>
        <w:tc>
          <w:tcPr>
            <w:tcW w:w="1849" w:type="dxa"/>
            <w:shd w:val="clear" w:color="auto" w:fill="auto"/>
            <w:vAlign w:val="center"/>
          </w:tcPr>
          <w:p w14:paraId="2E3ABB3D">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±20 ppm</w:t>
            </w:r>
          </w:p>
        </w:tc>
        <w:tc>
          <w:tcPr>
            <w:tcW w:w="2002" w:type="dxa"/>
            <w:shd w:val="clear" w:color="auto" w:fill="auto"/>
            <w:vAlign w:val="center"/>
          </w:tcPr>
          <w:p w14:paraId="62EAE99E">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±20 ppm</w:t>
            </w:r>
          </w:p>
        </w:tc>
        <w:tc>
          <w:tcPr>
            <w:tcW w:w="2024" w:type="dxa"/>
            <w:shd w:val="clear" w:color="auto" w:fill="auto"/>
            <w:vAlign w:val="center"/>
          </w:tcPr>
          <w:p w14:paraId="3CBBD7F7">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Includes Doppler; low-cost crystal</w:t>
            </w:r>
          </w:p>
        </w:tc>
      </w:tr>
      <w:tr w14:paraId="151A0FBF">
        <w:tc>
          <w:tcPr>
            <w:tcW w:w="1364" w:type="dxa"/>
            <w:shd w:val="clear" w:color="auto" w:fill="auto"/>
            <w:vAlign w:val="center"/>
          </w:tcPr>
          <w:p w14:paraId="52645528">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LTE Cat-M</w:t>
            </w:r>
          </w:p>
        </w:tc>
        <w:tc>
          <w:tcPr>
            <w:tcW w:w="2178" w:type="dxa"/>
            <w:shd w:val="clear" w:color="auto" w:fill="auto"/>
            <w:vAlign w:val="center"/>
          </w:tcPr>
          <w:p w14:paraId="397EE20F">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1849" w:type="dxa"/>
            <w:shd w:val="clear" w:color="auto" w:fill="auto"/>
            <w:vAlign w:val="center"/>
          </w:tcPr>
          <w:p w14:paraId="3C72B80B">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±0.5 ppm</w:t>
            </w:r>
          </w:p>
        </w:tc>
        <w:tc>
          <w:tcPr>
            <w:tcW w:w="2002" w:type="dxa"/>
            <w:shd w:val="clear" w:color="auto" w:fill="auto"/>
            <w:vAlign w:val="center"/>
          </w:tcPr>
          <w:p w14:paraId="4CC7D695">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2024" w:type="dxa"/>
            <w:shd w:val="clear" w:color="auto" w:fill="auto"/>
            <w:vAlign w:val="center"/>
          </w:tcPr>
          <w:p w14:paraId="303578D9">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Same as LTE</w:t>
            </w:r>
          </w:p>
        </w:tc>
      </w:tr>
      <w:tr w14:paraId="5B041844">
        <w:tc>
          <w:tcPr>
            <w:tcW w:w="1364" w:type="dxa"/>
            <w:shd w:val="clear" w:color="auto" w:fill="auto"/>
            <w:vAlign w:val="center"/>
          </w:tcPr>
          <w:p w14:paraId="6B5F2244">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 xml:space="preserve">NR </w:t>
            </w:r>
            <w:r>
              <w:rPr>
                <w:rStyle w:val="30"/>
                <w:rFonts w:hint="default" w:ascii="Times New Roman Regular" w:hAnsi="Times New Roman Regular" w:cs="Times New Roman Regular"/>
                <w:b w:val="0"/>
                <w:kern w:val="0"/>
                <w:sz w:val="24"/>
                <w:szCs w:val="24"/>
                <w:lang w:val="en-US" w:eastAsia="zh-CN" w:bidi="ar"/>
              </w:rPr>
              <w:t>RedCap</w:t>
            </w:r>
            <w:r>
              <w:rPr>
                <w:rStyle w:val="30"/>
                <w:rFonts w:hint="default" w:ascii="Times New Roman Regular" w:hAnsi="Times New Roman Regular" w:eastAsia="宋体" w:cs="Times New Roman Regular"/>
                <w:b w:val="0"/>
                <w:kern w:val="0"/>
                <w:sz w:val="24"/>
                <w:szCs w:val="24"/>
                <w:lang w:val="en-US" w:eastAsia="zh-CN" w:bidi="ar"/>
              </w:rPr>
              <w:t>(FR1)</w:t>
            </w:r>
          </w:p>
        </w:tc>
        <w:tc>
          <w:tcPr>
            <w:tcW w:w="2178" w:type="dxa"/>
            <w:shd w:val="clear" w:color="auto" w:fill="auto"/>
            <w:vAlign w:val="center"/>
          </w:tcPr>
          <w:p w14:paraId="6C37A9DA">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1849" w:type="dxa"/>
            <w:shd w:val="clear" w:color="auto" w:fill="auto"/>
            <w:vAlign w:val="center"/>
          </w:tcPr>
          <w:p w14:paraId="48870CC4">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±0.5 ppm</w:t>
            </w:r>
          </w:p>
        </w:tc>
        <w:tc>
          <w:tcPr>
            <w:tcW w:w="2002" w:type="dxa"/>
            <w:shd w:val="clear" w:color="auto" w:fill="auto"/>
            <w:vAlign w:val="center"/>
          </w:tcPr>
          <w:p w14:paraId="471320A8">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2024" w:type="dxa"/>
            <w:shd w:val="clear" w:color="auto" w:fill="auto"/>
            <w:vAlign w:val="center"/>
          </w:tcPr>
          <w:p w14:paraId="0258F237">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Same as standard NR</w:t>
            </w:r>
          </w:p>
        </w:tc>
      </w:tr>
      <w:tr w14:paraId="2474D8E8">
        <w:tc>
          <w:tcPr>
            <w:tcW w:w="1364" w:type="dxa"/>
            <w:shd w:val="clear" w:color="auto" w:fill="auto"/>
            <w:vAlign w:val="center"/>
          </w:tcPr>
          <w:p w14:paraId="32421139">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5G eMBB (FR1)</w:t>
            </w:r>
          </w:p>
        </w:tc>
        <w:tc>
          <w:tcPr>
            <w:tcW w:w="2178" w:type="dxa"/>
            <w:shd w:val="clear" w:color="auto" w:fill="auto"/>
            <w:vAlign w:val="center"/>
          </w:tcPr>
          <w:p w14:paraId="7FDAE538">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1849" w:type="dxa"/>
            <w:shd w:val="clear" w:color="auto" w:fill="auto"/>
            <w:vAlign w:val="center"/>
          </w:tcPr>
          <w:p w14:paraId="099E3B08">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±0.5 ppm</w:t>
            </w:r>
          </w:p>
        </w:tc>
        <w:tc>
          <w:tcPr>
            <w:tcW w:w="2002" w:type="dxa"/>
            <w:shd w:val="clear" w:color="auto" w:fill="auto"/>
            <w:vAlign w:val="center"/>
          </w:tcPr>
          <w:p w14:paraId="3F300C84">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2024" w:type="dxa"/>
            <w:shd w:val="clear" w:color="auto" w:fill="auto"/>
            <w:vAlign w:val="center"/>
          </w:tcPr>
          <w:p w14:paraId="7C57B63C">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FR2 stricter: ~±0.05 ppm</w:t>
            </w:r>
          </w:p>
        </w:tc>
      </w:tr>
    </w:tbl>
    <w:p w14:paraId="5DAF2735">
      <w:pPr>
        <w:numPr>
          <w:ilvl w:val="0"/>
          <w:numId w:val="0"/>
        </w:numPr>
        <w:ind w:leftChars="0"/>
        <w:rPr>
          <w:rFonts w:hint="default"/>
          <w:lang w:val="en-US" w:eastAsia="zh-CN"/>
        </w:rPr>
      </w:pPr>
    </w:p>
    <w:p w14:paraId="285DB21E">
      <w:pPr>
        <w:pStyle w:val="17"/>
        <w:rPr>
          <w:rFonts w:hint="default" w:ascii="Times New Roman Bold Italic" w:hAnsi="Times New Roman Bold Italic" w:cs="Times New Roman Bold Italic"/>
          <w:b/>
          <w:bCs/>
          <w:i/>
          <w:iCs/>
          <w:color w:val="auto"/>
          <w:sz w:val="22"/>
          <w:szCs w:val="22"/>
          <w:lang w:val="en-US" w:eastAsia="zh-CN"/>
        </w:rPr>
      </w:pPr>
      <w:r>
        <w:rPr>
          <w:rFonts w:hint="default" w:ascii="Times New Roman Bold Italic" w:hAnsi="Times New Roman Bold Italic" w:cs="Times New Roman Bold Italic"/>
          <w:b/>
          <w:bCs/>
          <w:i/>
          <w:iCs/>
          <w:color w:val="auto"/>
          <w:sz w:val="22"/>
          <w:szCs w:val="22"/>
          <w:lang w:val="en-US"/>
        </w:rPr>
        <w:t>Observation 4:</w:t>
      </w:r>
      <w:r>
        <w:rPr>
          <w:rFonts w:hint="default" w:ascii="Times New Roman Bold Italic" w:hAnsi="Times New Roman Bold Italic" w:cs="Times New Roman Bold Italic"/>
          <w:b/>
          <w:bCs/>
          <w:i/>
          <w:iCs/>
          <w:color w:val="auto"/>
          <w:sz w:val="22"/>
          <w:szCs w:val="22"/>
          <w:lang w:val="en-US" w:eastAsia="zh-CN"/>
        </w:rPr>
        <w:t xml:space="preserve"> From table 3, it could be observed that NB-IoT with lower power consumption has higher CFO/SFO compared with NB-IoT, LTE Cat-M, NR RedCapand NR eMBB.</w:t>
      </w:r>
    </w:p>
    <w:p w14:paraId="4EB65C46">
      <w:pPr>
        <w:numPr>
          <w:ilvl w:val="0"/>
          <w:numId w:val="0"/>
        </w:numPr>
        <w:ind w:leftChars="0"/>
        <w:jc w:val="center"/>
        <w:rPr>
          <w:rFonts w:hint="default" w:ascii="Times New Roman Italic" w:hAnsi="Times New Roman Italic" w:cs="Times New Roman Italic"/>
          <w:i/>
          <w:iCs/>
          <w:lang w:val="en-US" w:eastAsia="zh-CN"/>
        </w:rPr>
      </w:pPr>
      <w:r>
        <w:rPr>
          <w:rFonts w:hint="default" w:ascii="Times New Roman Italic" w:hAnsi="Times New Roman Italic" w:cs="Times New Roman Italic"/>
          <w:i/>
          <w:iCs/>
          <w:lang w:val="en-US" w:eastAsia="zh-CN"/>
        </w:rPr>
        <w:t>Table 3 SFO/CFO comparison of different terminal types</w:t>
      </w:r>
    </w:p>
    <w:tbl>
      <w:tblPr>
        <w:tblStyle w:val="28"/>
        <w:tblW w:w="9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2123"/>
        <w:gridCol w:w="1809"/>
        <w:gridCol w:w="1955"/>
        <w:gridCol w:w="1967"/>
      </w:tblGrid>
      <w:tr w14:paraId="2E18C558">
        <w:tc>
          <w:tcPr>
            <w:tcW w:w="1364" w:type="dxa"/>
            <w:shd w:val="clear" w:color="auto" w:fill="auto"/>
            <w:vAlign w:val="center"/>
          </w:tcPr>
          <w:p w14:paraId="22CE64A3">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Terminal Type</w:t>
            </w:r>
          </w:p>
        </w:tc>
        <w:tc>
          <w:tcPr>
            <w:tcW w:w="2178" w:type="dxa"/>
            <w:shd w:val="clear" w:color="auto" w:fill="auto"/>
            <w:vAlign w:val="center"/>
          </w:tcPr>
          <w:p w14:paraId="21F53FD3">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CFO Tolerance (Normal Operation)</w:t>
            </w:r>
          </w:p>
        </w:tc>
        <w:tc>
          <w:tcPr>
            <w:tcW w:w="1849" w:type="dxa"/>
            <w:shd w:val="clear" w:color="auto" w:fill="auto"/>
            <w:vAlign w:val="center"/>
          </w:tcPr>
          <w:p w14:paraId="65977F86">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CFO Tolerance (Initial Sync)</w:t>
            </w:r>
          </w:p>
        </w:tc>
        <w:tc>
          <w:tcPr>
            <w:tcW w:w="2002" w:type="dxa"/>
            <w:shd w:val="clear" w:color="auto" w:fill="auto"/>
            <w:vAlign w:val="center"/>
          </w:tcPr>
          <w:p w14:paraId="03676A13">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SFO Stability (Sampling Offset)</w:t>
            </w:r>
          </w:p>
        </w:tc>
        <w:tc>
          <w:tcPr>
            <w:tcW w:w="2024" w:type="dxa"/>
            <w:shd w:val="clear" w:color="auto" w:fill="auto"/>
            <w:vAlign w:val="center"/>
          </w:tcPr>
          <w:p w14:paraId="22205CE4">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Notes</w:t>
            </w:r>
          </w:p>
        </w:tc>
      </w:tr>
      <w:tr w14:paraId="5314F406">
        <w:tc>
          <w:tcPr>
            <w:tcW w:w="1364" w:type="dxa"/>
            <w:shd w:val="clear" w:color="auto" w:fill="auto"/>
            <w:vAlign w:val="center"/>
          </w:tcPr>
          <w:p w14:paraId="284190D5">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NB-IoT</w:t>
            </w:r>
          </w:p>
        </w:tc>
        <w:tc>
          <w:tcPr>
            <w:tcW w:w="2178" w:type="dxa"/>
            <w:shd w:val="clear" w:color="auto" w:fill="auto"/>
            <w:vAlign w:val="center"/>
          </w:tcPr>
          <w:p w14:paraId="698575C3">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±20 ppm</w:t>
            </w:r>
          </w:p>
        </w:tc>
        <w:tc>
          <w:tcPr>
            <w:tcW w:w="1849" w:type="dxa"/>
            <w:shd w:val="clear" w:color="auto" w:fill="auto"/>
            <w:vAlign w:val="center"/>
          </w:tcPr>
          <w:p w14:paraId="0D8453E3">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±20 ppm</w:t>
            </w:r>
          </w:p>
        </w:tc>
        <w:tc>
          <w:tcPr>
            <w:tcW w:w="2002" w:type="dxa"/>
            <w:shd w:val="clear" w:color="auto" w:fill="auto"/>
            <w:vAlign w:val="center"/>
          </w:tcPr>
          <w:p w14:paraId="502DBC74">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±20 ppm</w:t>
            </w:r>
          </w:p>
        </w:tc>
        <w:tc>
          <w:tcPr>
            <w:tcW w:w="2024" w:type="dxa"/>
            <w:shd w:val="clear" w:color="auto" w:fill="auto"/>
            <w:vAlign w:val="center"/>
          </w:tcPr>
          <w:p w14:paraId="1A5E72E4">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Includes Doppler; low-cost crystal</w:t>
            </w:r>
          </w:p>
        </w:tc>
      </w:tr>
      <w:tr w14:paraId="2232CD33">
        <w:tc>
          <w:tcPr>
            <w:tcW w:w="1364" w:type="dxa"/>
            <w:shd w:val="clear" w:color="auto" w:fill="auto"/>
            <w:vAlign w:val="center"/>
          </w:tcPr>
          <w:p w14:paraId="15599D6C">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LTE Cat-M</w:t>
            </w:r>
          </w:p>
        </w:tc>
        <w:tc>
          <w:tcPr>
            <w:tcW w:w="2178" w:type="dxa"/>
            <w:shd w:val="clear" w:color="auto" w:fill="auto"/>
            <w:vAlign w:val="center"/>
          </w:tcPr>
          <w:p w14:paraId="11FC15DF">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1849" w:type="dxa"/>
            <w:shd w:val="clear" w:color="auto" w:fill="auto"/>
            <w:vAlign w:val="center"/>
          </w:tcPr>
          <w:p w14:paraId="122B59A8">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±0.5 ppm</w:t>
            </w:r>
          </w:p>
        </w:tc>
        <w:tc>
          <w:tcPr>
            <w:tcW w:w="2002" w:type="dxa"/>
            <w:shd w:val="clear" w:color="auto" w:fill="auto"/>
            <w:vAlign w:val="center"/>
          </w:tcPr>
          <w:p w14:paraId="11210BCB">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2024" w:type="dxa"/>
            <w:shd w:val="clear" w:color="auto" w:fill="auto"/>
            <w:vAlign w:val="center"/>
          </w:tcPr>
          <w:p w14:paraId="340715D8">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Same as LTE</w:t>
            </w:r>
          </w:p>
        </w:tc>
      </w:tr>
      <w:tr w14:paraId="18F8DC5F">
        <w:tc>
          <w:tcPr>
            <w:tcW w:w="1364" w:type="dxa"/>
            <w:shd w:val="clear" w:color="auto" w:fill="auto"/>
            <w:vAlign w:val="center"/>
          </w:tcPr>
          <w:p w14:paraId="3BFE831C">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 xml:space="preserve">NR </w:t>
            </w:r>
            <w:r>
              <w:rPr>
                <w:rStyle w:val="30"/>
                <w:rFonts w:hint="default" w:ascii="Times New Roman Regular" w:hAnsi="Times New Roman Regular" w:cs="Times New Roman Regular"/>
                <w:b w:val="0"/>
                <w:kern w:val="0"/>
                <w:sz w:val="24"/>
                <w:szCs w:val="24"/>
                <w:lang w:val="en-US" w:eastAsia="zh-CN" w:bidi="ar"/>
              </w:rPr>
              <w:t>RedCap</w:t>
            </w:r>
            <w:r>
              <w:rPr>
                <w:rStyle w:val="30"/>
                <w:rFonts w:hint="default" w:ascii="Times New Roman Regular" w:hAnsi="Times New Roman Regular" w:eastAsia="宋体" w:cs="Times New Roman Regular"/>
                <w:b w:val="0"/>
                <w:kern w:val="0"/>
                <w:sz w:val="24"/>
                <w:szCs w:val="24"/>
                <w:lang w:val="en-US" w:eastAsia="zh-CN" w:bidi="ar"/>
              </w:rPr>
              <w:t>(FR1)</w:t>
            </w:r>
          </w:p>
        </w:tc>
        <w:tc>
          <w:tcPr>
            <w:tcW w:w="2178" w:type="dxa"/>
            <w:shd w:val="clear" w:color="auto" w:fill="auto"/>
            <w:vAlign w:val="center"/>
          </w:tcPr>
          <w:p w14:paraId="402A7498">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1849" w:type="dxa"/>
            <w:shd w:val="clear" w:color="auto" w:fill="auto"/>
            <w:vAlign w:val="center"/>
          </w:tcPr>
          <w:p w14:paraId="29698F9D">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±0.5 ppm</w:t>
            </w:r>
          </w:p>
        </w:tc>
        <w:tc>
          <w:tcPr>
            <w:tcW w:w="2002" w:type="dxa"/>
            <w:shd w:val="clear" w:color="auto" w:fill="auto"/>
            <w:vAlign w:val="center"/>
          </w:tcPr>
          <w:p w14:paraId="40CDA48D">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2024" w:type="dxa"/>
            <w:shd w:val="clear" w:color="auto" w:fill="auto"/>
            <w:vAlign w:val="center"/>
          </w:tcPr>
          <w:p w14:paraId="3ABB07C7">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Same as standard NR</w:t>
            </w:r>
          </w:p>
        </w:tc>
      </w:tr>
      <w:tr w14:paraId="133D3F1E">
        <w:tc>
          <w:tcPr>
            <w:tcW w:w="1364" w:type="dxa"/>
            <w:shd w:val="clear" w:color="auto" w:fill="auto"/>
            <w:vAlign w:val="center"/>
          </w:tcPr>
          <w:p w14:paraId="5A070E11">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5G eMBB (FR1)</w:t>
            </w:r>
          </w:p>
        </w:tc>
        <w:tc>
          <w:tcPr>
            <w:tcW w:w="2178" w:type="dxa"/>
            <w:shd w:val="clear" w:color="auto" w:fill="auto"/>
            <w:vAlign w:val="center"/>
          </w:tcPr>
          <w:p w14:paraId="42583529">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1849" w:type="dxa"/>
            <w:shd w:val="clear" w:color="auto" w:fill="auto"/>
            <w:vAlign w:val="center"/>
          </w:tcPr>
          <w:p w14:paraId="5E39EEAC">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±0.5 ppm</w:t>
            </w:r>
          </w:p>
        </w:tc>
        <w:tc>
          <w:tcPr>
            <w:tcW w:w="2002" w:type="dxa"/>
            <w:shd w:val="clear" w:color="auto" w:fill="auto"/>
            <w:vAlign w:val="center"/>
          </w:tcPr>
          <w:p w14:paraId="163D5D90">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2024" w:type="dxa"/>
            <w:shd w:val="clear" w:color="auto" w:fill="auto"/>
            <w:vAlign w:val="center"/>
          </w:tcPr>
          <w:p w14:paraId="1633C1FC">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FR2 stricter: ~±0.05 ppm</w:t>
            </w:r>
          </w:p>
        </w:tc>
      </w:tr>
    </w:tbl>
    <w:p w14:paraId="4AE5B69D">
      <w:pPr>
        <w:pStyle w:val="17"/>
        <w:rPr>
          <w:rFonts w:hint="default" w:ascii="Times New Roman Bold" w:hAnsi="Times New Roman Bold" w:cs="Times New Roman Bold"/>
          <w:b/>
          <w:bCs/>
          <w:color w:val="auto"/>
          <w:lang w:val="en-US" w:eastAsia="zh-CN"/>
        </w:rPr>
      </w:pPr>
    </w:p>
    <w:p w14:paraId="52ACDB4F">
      <w:pPr>
        <w:pStyle w:val="17"/>
        <w:rPr>
          <w:rFonts w:hint="default"/>
          <w:sz w:val="22"/>
          <w:szCs w:val="22"/>
          <w:lang w:val="en-US" w:eastAsia="zh-CN"/>
        </w:rPr>
      </w:pPr>
      <w:r>
        <w:rPr>
          <w:rFonts w:hint="default" w:ascii="Times New Roman Bold Italic" w:hAnsi="Times New Roman Bold Italic" w:cs="Times New Roman Bold Italic"/>
          <w:b/>
          <w:bCs/>
          <w:i/>
          <w:iCs/>
          <w:color w:val="auto"/>
          <w:sz w:val="22"/>
          <w:szCs w:val="22"/>
          <w:lang w:val="en-US" w:eastAsia="zh-CN"/>
        </w:rPr>
        <w:t xml:space="preserve">Proposal 2: Discussion on how to define basic capability of LPWA based on </w:t>
      </w:r>
      <w:r>
        <w:rPr>
          <w:rFonts w:hint="default" w:ascii="Times New Roman Bold Italic" w:hAnsi="Times New Roman Bold Italic" w:cs="Times New Roman Bold Italic"/>
          <w:b/>
          <w:bCs/>
          <w:i/>
          <w:iCs/>
          <w:color w:val="auto"/>
          <w:sz w:val="22"/>
          <w:szCs w:val="22"/>
          <w:lang w:val="en-US"/>
        </w:rPr>
        <w:t>different terminal types discussed in 3GPP, at least</w:t>
      </w:r>
      <w:r>
        <w:rPr>
          <w:rFonts w:hint="eastAsia" w:ascii="Times New Roman Bold Italic" w:hAnsi="Times New Roman Bold Italic" w:cs="Times New Roman Bold Italic"/>
          <w:b/>
          <w:bCs/>
          <w:i/>
          <w:iCs/>
          <w:color w:val="auto"/>
          <w:sz w:val="22"/>
          <w:szCs w:val="22"/>
          <w:lang w:val="en-US" w:eastAsia="zh-CN"/>
        </w:rPr>
        <w:t xml:space="preserve"> considering</w:t>
      </w:r>
      <w:r>
        <w:rPr>
          <w:rFonts w:hint="default" w:ascii="Times New Roman Bold Italic" w:hAnsi="Times New Roman Bold Italic" w:cs="Times New Roman Bold Italic"/>
          <w:b/>
          <w:bCs/>
          <w:i/>
          <w:iCs/>
          <w:color w:val="auto"/>
          <w:sz w:val="22"/>
          <w:szCs w:val="22"/>
          <w:lang w:val="en-US"/>
        </w:rPr>
        <w:t xml:space="preserve"> </w:t>
      </w:r>
      <w:r>
        <w:rPr>
          <w:rFonts w:hint="default" w:ascii="Times New Roman Bold Italic" w:hAnsi="Times New Roman Bold Italic" w:cs="Times New Roman Bold Italic"/>
          <w:b/>
          <w:bCs/>
          <w:i/>
          <w:iCs/>
          <w:color w:val="auto"/>
          <w:sz w:val="22"/>
          <w:szCs w:val="22"/>
          <w:lang w:val="en-US" w:eastAsia="zh-CN"/>
        </w:rPr>
        <w:t>NB-IoT</w:t>
      </w:r>
      <w:r>
        <w:rPr>
          <w:rFonts w:hint="eastAsia" w:ascii="Times New Roman Bold Italic" w:hAnsi="Times New Roman Bold Italic" w:cs="Times New Roman Bold Italic"/>
          <w:b/>
          <w:bCs/>
          <w:i/>
          <w:iCs/>
          <w:color w:val="auto"/>
          <w:sz w:val="22"/>
          <w:szCs w:val="22"/>
          <w:lang w:val="en-US" w:eastAsia="zh-CN"/>
        </w:rPr>
        <w:t>-like</w:t>
      </w:r>
      <w:r>
        <w:rPr>
          <w:rFonts w:hint="default" w:ascii="Times New Roman Bold Italic" w:hAnsi="Times New Roman Bold Italic" w:cs="Times New Roman Bold Italic"/>
          <w:b/>
          <w:bCs/>
          <w:i/>
          <w:iCs/>
          <w:color w:val="auto"/>
          <w:sz w:val="22"/>
          <w:szCs w:val="22"/>
          <w:lang w:val="en-US" w:eastAsia="zh-CN"/>
        </w:rPr>
        <w:t>, LTE Cat-M</w:t>
      </w:r>
      <w:r>
        <w:rPr>
          <w:rFonts w:hint="eastAsia" w:ascii="Times New Roman Bold Italic" w:hAnsi="Times New Roman Bold Italic" w:cs="Times New Roman Bold Italic"/>
          <w:b/>
          <w:bCs/>
          <w:i/>
          <w:iCs/>
          <w:color w:val="auto"/>
          <w:sz w:val="22"/>
          <w:szCs w:val="22"/>
          <w:lang w:val="en-US" w:eastAsia="zh-CN"/>
        </w:rPr>
        <w:t>-like</w:t>
      </w:r>
      <w:r>
        <w:rPr>
          <w:rFonts w:hint="default" w:ascii="Times New Roman Bold Italic" w:hAnsi="Times New Roman Bold Italic" w:cs="Times New Roman Bold Italic"/>
          <w:b/>
          <w:bCs/>
          <w:i/>
          <w:iCs/>
          <w:color w:val="auto"/>
          <w:sz w:val="22"/>
          <w:szCs w:val="22"/>
          <w:lang w:val="en-US" w:eastAsia="zh-CN"/>
        </w:rPr>
        <w:t>, NR Redcap</w:t>
      </w:r>
      <w:r>
        <w:rPr>
          <w:rFonts w:hint="eastAsia" w:ascii="Times New Roman Bold Italic" w:hAnsi="Times New Roman Bold Italic" w:cs="Times New Roman Bold Italic"/>
          <w:b/>
          <w:bCs/>
          <w:i/>
          <w:iCs/>
          <w:color w:val="auto"/>
          <w:sz w:val="22"/>
          <w:szCs w:val="22"/>
          <w:lang w:val="en-US" w:eastAsia="zh-CN"/>
        </w:rPr>
        <w:t>-like</w:t>
      </w:r>
      <w:r>
        <w:rPr>
          <w:rFonts w:hint="default" w:ascii="Times New Roman Bold Italic" w:hAnsi="Times New Roman Bold Italic" w:cs="Times New Roman Bold Italic"/>
          <w:b/>
          <w:bCs/>
          <w:i/>
          <w:iCs/>
          <w:color w:val="auto"/>
          <w:sz w:val="22"/>
          <w:szCs w:val="22"/>
          <w:lang w:val="en-US" w:eastAsia="zh-CN"/>
        </w:rPr>
        <w:t>.</w:t>
      </w:r>
    </w:p>
    <w:p w14:paraId="012C552A">
      <w:pPr>
        <w:pStyle w:val="3"/>
        <w:rPr>
          <w:rFonts w:hint="default" w:eastAsia="宋体"/>
          <w:lang w:val="en-US" w:eastAsia="zh-CN"/>
        </w:rPr>
      </w:pPr>
      <w:r>
        <w:rPr>
          <w:rFonts w:hint="default" w:eastAsia="宋体"/>
          <w:lang w:val="en-US" w:eastAsia="zh-CN"/>
        </w:rPr>
        <w:t xml:space="preserve"> </w:t>
      </w:r>
      <w:r>
        <w:rPr>
          <w:rFonts w:hint="eastAsia" w:eastAsia="宋体"/>
          <w:lang w:val="en-US" w:eastAsia="zh-CN"/>
        </w:rPr>
        <w:t>Multi-capability UE cha</w:t>
      </w:r>
      <w:r>
        <w:rPr>
          <w:rFonts w:hint="default" w:eastAsia="宋体"/>
          <w:lang w:val="en-US" w:eastAsia="zh-CN"/>
        </w:rPr>
        <w:t>llenges</w:t>
      </w:r>
    </w:p>
    <w:p w14:paraId="16EF1FD3">
      <w:pPr>
        <w:jc w:val="center"/>
        <w:rPr>
          <w:rFonts w:hint="default"/>
          <w:lang w:val="en-US" w:eastAsia="zh-CN"/>
        </w:rPr>
      </w:pPr>
      <w:r>
        <w:drawing>
          <wp:inline distT="0" distB="0" distL="114300" distR="114300">
            <wp:extent cx="2790190" cy="1734185"/>
            <wp:effectExtent l="0" t="0" r="0" b="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9"/>
                    <a:srcRect l="3415" t="27053" r="46612" b="16540"/>
                    <a:stretch>
                      <a:fillRect/>
                    </a:stretch>
                  </pic:blipFill>
                  <pic:spPr>
                    <a:xfrm>
                      <a:off x="0" y="0"/>
                      <a:ext cx="2790190" cy="1734185"/>
                    </a:xfrm>
                    <a:prstGeom prst="rect">
                      <a:avLst/>
                    </a:prstGeom>
                    <a:noFill/>
                    <a:ln>
                      <a:noFill/>
                    </a:ln>
                  </pic:spPr>
                </pic:pic>
              </a:graphicData>
            </a:graphic>
          </wp:inline>
        </w:drawing>
      </w:r>
    </w:p>
    <w:p w14:paraId="69099B92">
      <w:pPr>
        <w:rPr>
          <w:rFonts w:hint="default"/>
          <w:lang w:val="en-US" w:eastAsia="zh-CN"/>
        </w:rPr>
      </w:pPr>
      <w:r>
        <w:rPr>
          <w:rFonts w:hint="default"/>
          <w:lang w:val="en-US" w:eastAsia="zh-CN"/>
        </w:rPr>
        <w:t xml:space="preserve">With the diverse terminal types above, there is increasing interest in multi-capability UEs – devices that support multiple modes or radio access technologies (RATs) (e.g. a single device operating in both 5G RedCap and LTE-M/NB-IoT, or a smartphone that can downscale to an IoT mode). Such UEs offer flexibility (for example, using a high-bandwidth 5G link when available and falling back to a coverage-enhanced LTE IoT link in remote areas), as well as they also face </w:t>
      </w:r>
      <w:r>
        <w:rPr>
          <w:rFonts w:hint="eastAsia"/>
          <w:lang w:val="en-US" w:eastAsia="zh-CN"/>
        </w:rPr>
        <w:t>some</w:t>
      </w:r>
      <w:r>
        <w:rPr>
          <w:rFonts w:hint="default"/>
          <w:lang w:val="en-US" w:eastAsia="zh-CN"/>
        </w:rPr>
        <w:t xml:space="preserve"> issues in mode switching, and minimizing power overhead.</w:t>
      </w:r>
    </w:p>
    <w:p w14:paraId="03F09A9B">
      <w:pPr>
        <w:numPr>
          <w:ilvl w:val="0"/>
          <w:numId w:val="13"/>
        </w:numPr>
        <w:ind w:left="420" w:leftChars="0" w:hanging="420" w:firstLineChars="0"/>
        <w:rPr>
          <w:rFonts w:hint="default"/>
          <w:lang w:val="en-US" w:eastAsia="zh-CN"/>
        </w:rPr>
      </w:pPr>
      <w:r>
        <w:rPr>
          <w:rFonts w:hint="default" w:ascii="Times New Roman Bold" w:hAnsi="Times New Roman Bold" w:cs="Times New Roman Bold"/>
          <w:b/>
          <w:bCs/>
          <w:lang w:val="en-US" w:eastAsia="zh-CN"/>
        </w:rPr>
        <w:t>Mode Switching and Minimizing Power Overhead:</w:t>
      </w:r>
      <w:r>
        <w:rPr>
          <w:rFonts w:hint="default"/>
          <w:lang w:val="en-US" w:eastAsia="zh-CN"/>
        </w:rPr>
        <w:t xml:space="preserve"> A multi-RAT or multi-mode device must handle different radio protocols and possibly maintain multiple registrations. Unlike a single-mode UE, which has one RRC state machine active at a time, a dual-mode (say NR + LTE-M) UE might need to switch between two RRC connections. In practice, the device will typically camp on one RAT and only attach to the other as needed, since simultaneous active connections are often not feasible for NB-IoT/LTE-M and NR (there is no defined dual connectivity combining NB-IoT with 5G). This means that mode switching often involves an RRC release on one system and a new RRC connection, incurring latency and signaling overhead.  This inter-RAT transition can take on the order of seconds, as the UE must perform cell search, synchronization, and authentication on the new RAT. Thus, multi-capability UEs must intelligently decide when to switch modes, to minimize frequent toggling. Ensuring seamless coverage without excessive reconnection signaling remains an RRC-level challenge. Network support is also crucial: the device’s capabilities (which modes it supports) are signaled to the network, and the network may need to assist – for instance, by redirecting an IoT device to LTE-M if it detects the UE’s 5G signal is fading.</w:t>
      </w:r>
    </w:p>
    <w:p w14:paraId="2BB98FBF">
      <w:pPr>
        <w:numPr>
          <w:ilvl w:val="0"/>
          <w:numId w:val="13"/>
        </w:numPr>
        <w:ind w:left="420" w:leftChars="0" w:hanging="420" w:firstLineChars="0"/>
        <w:rPr>
          <w:rFonts w:hint="default"/>
          <w:lang w:val="en-US" w:eastAsia="zh-CN"/>
        </w:rPr>
      </w:pPr>
      <w:r>
        <w:rPr>
          <w:rFonts w:hint="default" w:ascii="Times New Roman Bold" w:hAnsi="Times New Roman Bold" w:cs="Times New Roman Bold"/>
          <w:b/>
          <w:bCs/>
          <w:lang w:val="en-US" w:eastAsia="zh-CN"/>
        </w:rPr>
        <w:t>Power Overhead</w:t>
      </w:r>
    </w:p>
    <w:p w14:paraId="7FC04237">
      <w:pPr>
        <w:numPr>
          <w:ilvl w:val="0"/>
          <w:numId w:val="14"/>
        </w:numPr>
        <w:ind w:left="840" w:leftChars="0" w:hanging="420" w:firstLineChars="0"/>
        <w:rPr>
          <w:rFonts w:hint="default"/>
          <w:lang w:val="en-US" w:eastAsia="zh-CN"/>
        </w:rPr>
      </w:pPr>
      <w:r>
        <w:rPr>
          <w:rFonts w:hint="default" w:ascii="Times New Roman Bold" w:hAnsi="Times New Roman Bold" w:cs="Times New Roman Bold"/>
          <w:b/>
          <w:bCs/>
          <w:lang w:val="en-US" w:eastAsia="zh-CN"/>
        </w:rPr>
        <w:t>Extra power overhead for sleep requirement mismatching</w:t>
      </w:r>
      <w:r>
        <w:rPr>
          <w:rFonts w:hint="default"/>
          <w:lang w:val="en-US" w:eastAsia="zh-CN"/>
        </w:rPr>
        <w:t xml:space="preserve">: Even if only one radio is active at a time, the UE may need to periodically monitor or at least be aware of the other system. For instance, a dual LTE-M/NB-IoT + NR RedCap module might normally stay on the NR network with a relatively short DRX cycle, but it also must occasionally scan for LTE-M/NB-IoT coverage when NR signal is weak (to decide if it should switch). Scanning on a second RAT during what would otherwise be sleep periods can eat into the power savings from DRX. </w:t>
      </w:r>
    </w:p>
    <w:p w14:paraId="076C6D30">
      <w:pPr>
        <w:numPr>
          <w:ilvl w:val="0"/>
          <w:numId w:val="14"/>
        </w:numPr>
        <w:ind w:left="840" w:leftChars="0" w:hanging="420" w:firstLineChars="0"/>
        <w:rPr>
          <w:rFonts w:hint="default"/>
          <w:lang w:val="en-US" w:eastAsia="zh-CN"/>
        </w:rPr>
      </w:pPr>
      <w:r>
        <w:rPr>
          <w:rFonts w:hint="default" w:ascii="Times New Roman Bold" w:hAnsi="Times New Roman Bold" w:cs="Times New Roman Bold"/>
          <w:b/>
          <w:bCs/>
          <w:lang w:val="en-US" w:eastAsia="zh-CN"/>
        </w:rPr>
        <w:t>Signal processing and memory overhead</w:t>
      </w:r>
      <w:r>
        <w:rPr>
          <w:rFonts w:hint="default"/>
          <w:lang w:val="en-US" w:eastAsia="zh-CN"/>
        </w:rPr>
        <w:t xml:space="preserve">: a multi-capability UE needs to maintain firmware for multiple protocols (increasing memory usage) and possibly dual baseband processing paths. When active on one mode, the unused baseband can be clock-gated (turned off) to save energy, but mode switching will then require a context switch that might involve loading firmware, re-initializing the RF for the other band, etc., which is energy-expensive if done frequently. In practice, manufacturers optimize hardware so that, for example, an LTE-M/NB-IoT dual modem shares as much circuitry as possible between modes, and only a single radio chain is used (tuned to different bands as needed). This minimizes added power draw, but a penalty remains – the chip is larger and not as finely optimized for one mode. </w:t>
      </w:r>
    </w:p>
    <w:p w14:paraId="1167F1B0">
      <w:pPr>
        <w:numPr>
          <w:ilvl w:val="0"/>
          <w:numId w:val="13"/>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Multi-c</w:t>
      </w:r>
      <w:r>
        <w:rPr>
          <w:rFonts w:hint="eastAsia" w:ascii="Times New Roman Bold" w:hAnsi="Times New Roman Bold" w:eastAsia="宋体" w:cs="Times New Roman Bold"/>
          <w:b/>
          <w:bCs/>
          <w:lang w:val="en-US" w:eastAsia="zh-CN"/>
        </w:rPr>
        <w:t>apabilit</w:t>
      </w:r>
      <w:r>
        <w:rPr>
          <w:rFonts w:hint="default" w:ascii="Times New Roman Bold" w:hAnsi="Times New Roman Bold" w:eastAsia="宋体" w:cs="Times New Roman Bold"/>
          <w:b/>
          <w:bCs/>
          <w:lang w:val="en-US" w:eastAsia="zh-CN"/>
        </w:rPr>
        <w:t>y Mismatching Related Issues:</w:t>
      </w:r>
      <w:r>
        <w:rPr>
          <w:rFonts w:hint="eastAsia" w:ascii="Times New Roman Bold" w:hAnsi="Times New Roman Bold" w:eastAsia="宋体" w:cs="Times New Roman Bold"/>
          <w:b/>
          <w:bCs/>
          <w:lang w:val="en-US" w:eastAsia="zh-CN"/>
        </w:rPr>
        <w:t xml:space="preserve"> </w:t>
      </w:r>
      <w:r>
        <w:rPr>
          <w:rFonts w:hint="default" w:ascii="Times New Roman" w:hAnsi="Times New Roman" w:eastAsia="宋体" w:cs="Times New Roman"/>
          <w:b w:val="0"/>
          <w:bCs w:val="0"/>
          <w:lang w:val="en-US" w:eastAsia="zh-CN"/>
        </w:rPr>
        <w:t xml:space="preserve">In 6G, integrating multiple capabilities such as eMBB, RedCap, and IoT within a single terminal introduces significant challenges. Each capability has distinct requirements in terms of latency, bandwidth, coverage, and energy efficiency. For example, eMBB demands high throughput and wide bandwidth, while IoT focuses on ultra-low power and extended coverage, and </w:t>
      </w:r>
      <w:r>
        <w:rPr>
          <w:rFonts w:hint="default" w:cs="Times New Roman"/>
          <w:b w:val="0"/>
          <w:bCs w:val="0"/>
          <w:lang w:val="en-US" w:eastAsia="zh-CN"/>
        </w:rPr>
        <w:t xml:space="preserve">RedCap </w:t>
      </w:r>
      <w:r>
        <w:rPr>
          <w:rFonts w:hint="default" w:ascii="Times New Roman" w:hAnsi="Times New Roman" w:eastAsia="宋体" w:cs="Times New Roman"/>
          <w:b w:val="0"/>
          <w:bCs w:val="0"/>
          <w:lang w:val="en-US" w:eastAsia="zh-CN"/>
        </w:rPr>
        <w:t xml:space="preserve">targets mid-tier performance. This mismatch can cause conflicts in scheduling, resource allocation, and waveform selection. Harmonizing diverse protocol configurations, PHY/MAC procedures, and signaling formats becomes complex, especially when optimizing for both high-performance and low-power modes. </w:t>
      </w:r>
    </w:p>
    <w:p w14:paraId="46F5CA14">
      <w:pPr>
        <w:numPr>
          <w:ilvl w:val="0"/>
          <w:numId w:val="0"/>
        </w:numPr>
        <w:ind w:leftChars="0"/>
        <w:rPr>
          <w:rFonts w:hint="default"/>
          <w:lang w:val="en-US" w:eastAsia="zh-CN"/>
        </w:rPr>
      </w:pPr>
      <w:r>
        <w:rPr>
          <w:rFonts w:hint="default"/>
          <w:lang w:val="en-US" w:eastAsia="zh-CN"/>
        </w:rPr>
        <w:t xml:space="preserve">In summary, multi-capability UE brings flexibility but require careful some issues above based on hardware capability to avoid “undoing” the power-saving gains of the individual technologies. Network-assisted mode switching (e.g. the network only directs the UE to switch RATs when absolutely necessary) and features like long eDRX, RRC_INACTIVE, and </w:t>
      </w:r>
      <w:r>
        <w:rPr>
          <w:rFonts w:hint="eastAsia"/>
          <w:lang w:val="en-US" w:eastAsia="zh-CN"/>
        </w:rPr>
        <w:t>WUS</w:t>
      </w:r>
      <w:r>
        <w:rPr>
          <w:rFonts w:hint="default"/>
          <w:lang w:val="en-US" w:eastAsia="zh-CN"/>
        </w:rPr>
        <w:t xml:space="preserve"> are key to making such devices feasible. Ongoing 3GPP work in Releases 17 and 18 (for example, specifying multi-RAT dual connectivity for LPWA and NR, and allowing longer paging cycles in 5G) aims to mitigate these challenges. Device and chipset implementations will also play a big role, ensuring that unused transceivers can be completely shut off and that context switching is efficient. As 6G develop</w:t>
      </w:r>
      <w:r>
        <w:rPr>
          <w:rFonts w:hint="eastAsia"/>
          <w:lang w:val="en-US" w:eastAsia="zh-CN"/>
        </w:rPr>
        <w:t>ment</w:t>
      </w:r>
      <w:r>
        <w:rPr>
          <w:rFonts w:hint="default"/>
          <w:lang w:val="en-US" w:eastAsia="zh-CN"/>
        </w:rPr>
        <w:t>, we expect more solutions to support multi-mode operation without significantly compromising battery life.</w:t>
      </w:r>
    </w:p>
    <w:p w14:paraId="0F413752">
      <w:pPr>
        <w:pStyle w:val="17"/>
        <w:rPr>
          <w:rFonts w:hint="default" w:ascii="Times New Roman Bold Italic" w:hAnsi="Times New Roman Bold Italic" w:eastAsia="宋体" w:cs="Times New Roman Bold Italic"/>
          <w:b/>
          <w:bCs/>
          <w:i/>
          <w:iCs/>
          <w:color w:val="auto"/>
          <w:sz w:val="22"/>
          <w:szCs w:val="22"/>
          <w:lang w:val="en-US" w:eastAsia="zh-CN"/>
        </w:rPr>
      </w:pPr>
      <w:r>
        <w:rPr>
          <w:rFonts w:hint="default" w:ascii="Times New Roman Bold Italic" w:hAnsi="Times New Roman Bold Italic" w:cs="Times New Roman Bold Italic"/>
          <w:b/>
          <w:bCs/>
          <w:i/>
          <w:iCs/>
          <w:color w:val="auto"/>
          <w:sz w:val="22"/>
          <w:szCs w:val="22"/>
          <w:lang w:val="en-US"/>
        </w:rPr>
        <w:t>Observation 5:</w:t>
      </w:r>
      <w:r>
        <w:rPr>
          <w:rFonts w:hint="default" w:ascii="Times New Roman Bold Italic" w:hAnsi="Times New Roman Bold Italic" w:cs="Times New Roman Bold Italic"/>
          <w:b/>
          <w:bCs/>
          <w:i/>
          <w:iCs/>
          <w:color w:val="auto"/>
          <w:sz w:val="22"/>
          <w:szCs w:val="22"/>
          <w:lang w:val="en-US" w:eastAsia="zh-CN"/>
        </w:rPr>
        <w:t xml:space="preserve"> If one terminal with multi-capability to </w:t>
      </w:r>
      <w:r>
        <w:rPr>
          <w:rFonts w:hint="default" w:ascii="Times New Roman Bold Italic" w:hAnsi="Times New Roman Bold Italic" w:cs="Times New Roman Bold Italic"/>
          <w:b/>
          <w:bCs/>
          <w:i/>
          <w:iCs/>
          <w:sz w:val="22"/>
          <w:szCs w:val="22"/>
          <w:lang w:val="en-US" w:eastAsia="zh-CN"/>
        </w:rPr>
        <w:t xml:space="preserve">support multiple </w:t>
      </w:r>
      <w:r>
        <w:rPr>
          <w:rFonts w:hint="eastAsia" w:ascii="Times New Roman Bold Italic" w:hAnsi="Times New Roman Bold Italic" w:cs="Times New Roman Bold Italic"/>
          <w:b/>
          <w:bCs/>
          <w:i/>
          <w:iCs/>
          <w:sz w:val="22"/>
          <w:szCs w:val="22"/>
          <w:lang w:val="en-US" w:eastAsia="zh-CN"/>
        </w:rPr>
        <w:t xml:space="preserve">power </w:t>
      </w:r>
      <w:r>
        <w:rPr>
          <w:rFonts w:hint="default" w:ascii="Times New Roman Bold Italic" w:hAnsi="Times New Roman Bold Italic" w:cs="Times New Roman Bold Italic"/>
          <w:b/>
          <w:bCs/>
          <w:i/>
          <w:iCs/>
          <w:sz w:val="22"/>
          <w:szCs w:val="22"/>
          <w:lang w:val="en-US" w:eastAsia="zh-CN"/>
        </w:rPr>
        <w:t xml:space="preserve">consumption modes or RATs, it is a better way to reduce power consumption and unify design of different terminal types. </w:t>
      </w:r>
    </w:p>
    <w:p w14:paraId="2E1A9E8C">
      <w:pPr>
        <w:pStyle w:val="17"/>
        <w:rPr>
          <w:rFonts w:hint="default" w:ascii="Times New Roman Bold Italic" w:hAnsi="Times New Roman Bold Italic" w:cs="Times New Roman Bold Italic"/>
          <w:b/>
          <w:bCs/>
          <w:i/>
          <w:iCs/>
          <w:color w:val="auto"/>
          <w:sz w:val="22"/>
          <w:szCs w:val="22"/>
          <w:lang w:val="en-US"/>
        </w:rPr>
      </w:pPr>
      <w:r>
        <w:rPr>
          <w:rFonts w:hint="default" w:ascii="Times New Roman Bold Italic" w:hAnsi="Times New Roman Bold Italic" w:cs="Times New Roman Bold Italic"/>
          <w:b/>
          <w:bCs/>
          <w:i/>
          <w:iCs/>
          <w:color w:val="auto"/>
          <w:sz w:val="22"/>
          <w:szCs w:val="22"/>
          <w:lang w:val="en-US"/>
        </w:rPr>
        <w:t xml:space="preserve">Observation 6: For </w:t>
      </w:r>
      <w:r>
        <w:rPr>
          <w:rFonts w:hint="default" w:ascii="Times New Roman Bold Italic" w:hAnsi="Times New Roman Bold Italic" w:cs="Times New Roman Bold Italic"/>
          <w:b/>
          <w:bCs/>
          <w:i/>
          <w:iCs/>
          <w:color w:val="auto"/>
          <w:sz w:val="22"/>
          <w:szCs w:val="22"/>
          <w:lang w:val="en-US" w:eastAsia="zh-CN"/>
        </w:rPr>
        <w:t xml:space="preserve">one terminal with multi-capability to </w:t>
      </w:r>
      <w:r>
        <w:rPr>
          <w:rFonts w:hint="default" w:ascii="Times New Roman Bold Italic" w:hAnsi="Times New Roman Bold Italic" w:cs="Times New Roman Bold Italic"/>
          <w:b/>
          <w:bCs/>
          <w:i/>
          <w:iCs/>
          <w:sz w:val="22"/>
          <w:szCs w:val="22"/>
          <w:lang w:val="en-US" w:eastAsia="zh-CN"/>
        </w:rPr>
        <w:t xml:space="preserve">support multiple </w:t>
      </w:r>
      <w:r>
        <w:rPr>
          <w:rFonts w:hint="eastAsia" w:ascii="Times New Roman Bold Italic" w:hAnsi="Times New Roman Bold Italic" w:cs="Times New Roman Bold Italic"/>
          <w:b/>
          <w:bCs/>
          <w:i/>
          <w:iCs/>
          <w:sz w:val="22"/>
          <w:szCs w:val="22"/>
          <w:lang w:val="en-US" w:eastAsia="zh-CN"/>
        </w:rPr>
        <w:t xml:space="preserve">power </w:t>
      </w:r>
      <w:r>
        <w:rPr>
          <w:rFonts w:hint="default" w:ascii="Times New Roman Bold Italic" w:hAnsi="Times New Roman Bold Italic" w:cs="Times New Roman Bold Italic"/>
          <w:b/>
          <w:bCs/>
          <w:i/>
          <w:iCs/>
          <w:sz w:val="22"/>
          <w:szCs w:val="22"/>
          <w:lang w:val="en-US" w:eastAsia="zh-CN"/>
        </w:rPr>
        <w:t>consumption modes or RATs,</w:t>
      </w:r>
      <w:r>
        <w:rPr>
          <w:rFonts w:hint="default" w:ascii="Times New Roman Bold Italic" w:hAnsi="Times New Roman Bold Italic" w:cs="Times New Roman Bold Italic"/>
          <w:b/>
          <w:bCs/>
          <w:i/>
          <w:iCs/>
          <w:color w:val="auto"/>
          <w:sz w:val="22"/>
          <w:szCs w:val="22"/>
          <w:lang w:val="en-US"/>
        </w:rPr>
        <w:t xml:space="preserve"> some potential </w:t>
      </w:r>
      <w:r>
        <w:rPr>
          <w:rFonts w:hint="eastAsia" w:ascii="Times New Roman Bold Italic" w:hAnsi="Times New Roman Bold Italic" w:cs="Times New Roman Bold Italic"/>
          <w:b/>
          <w:bCs/>
          <w:i/>
          <w:iCs/>
          <w:color w:val="auto"/>
          <w:sz w:val="22"/>
          <w:szCs w:val="22"/>
          <w:lang w:val="en-US" w:eastAsia="zh-CN"/>
        </w:rPr>
        <w:t>issues</w:t>
      </w:r>
      <w:r>
        <w:rPr>
          <w:rFonts w:hint="default" w:ascii="Times New Roman Bold Italic" w:hAnsi="Times New Roman Bold Italic" w:cs="Times New Roman Bold Italic"/>
          <w:b/>
          <w:bCs/>
          <w:i/>
          <w:iCs/>
          <w:color w:val="auto"/>
          <w:sz w:val="22"/>
          <w:szCs w:val="22"/>
          <w:lang w:val="en-US"/>
        </w:rPr>
        <w:t xml:space="preserve"> could be discovered in multi-capability mismatching, mode switching, and minimizing power overhead.</w:t>
      </w:r>
    </w:p>
    <w:p w14:paraId="0B878857">
      <w:pPr>
        <w:pBdr>
          <w:bottom w:val="single" w:color="auto" w:sz="4" w:space="1"/>
        </w:pBdr>
        <w:spacing w:after="0"/>
        <w:jc w:val="left"/>
        <w:rPr>
          <w:b/>
          <w:kern w:val="2"/>
          <w:sz w:val="16"/>
          <w:szCs w:val="16"/>
          <w:lang w:eastAsia="zh-CN"/>
        </w:rPr>
      </w:pPr>
    </w:p>
    <w:p w14:paraId="041B2746">
      <w:pPr>
        <w:pStyle w:val="2"/>
        <w:rPr>
          <w:rFonts w:hint="default"/>
          <w:lang w:val="en-US" w:eastAsia="zh-CN"/>
        </w:rPr>
      </w:pPr>
      <w:r>
        <w:rPr>
          <w:rFonts w:hint="eastAsia"/>
          <w:lang w:val="en-US" w:eastAsia="zh-CN"/>
        </w:rPr>
        <w:t xml:space="preserve"> </w:t>
      </w:r>
      <w:r>
        <w:rPr>
          <w:rFonts w:hint="default"/>
          <w:lang w:val="en-US" w:eastAsia="zh-CN"/>
        </w:rPr>
        <w:t>6G</w:t>
      </w:r>
      <w:r>
        <w:rPr>
          <w:rFonts w:hint="eastAsia"/>
          <w:lang w:val="en-US" w:eastAsia="zh-CN"/>
        </w:rPr>
        <w:t>R</w:t>
      </w:r>
      <w:r>
        <w:rPr>
          <w:rFonts w:hint="default"/>
          <w:lang w:val="en-US" w:eastAsia="zh-CN"/>
        </w:rPr>
        <w:t xml:space="preserve"> energy efficiency considerations</w:t>
      </w:r>
    </w:p>
    <w:p w14:paraId="14504124">
      <w:pPr>
        <w:jc w:val="center"/>
      </w:pPr>
      <w:r>
        <w:drawing>
          <wp:inline distT="0" distB="0" distL="114300" distR="114300">
            <wp:extent cx="5724525" cy="1431290"/>
            <wp:effectExtent l="0" t="0" r="15875" b="1651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a:stretch>
                      <a:fillRect/>
                    </a:stretch>
                  </pic:blipFill>
                  <pic:spPr>
                    <a:xfrm>
                      <a:off x="0" y="0"/>
                      <a:ext cx="5724525" cy="1431290"/>
                    </a:xfrm>
                    <a:prstGeom prst="rect">
                      <a:avLst/>
                    </a:prstGeom>
                  </pic:spPr>
                </pic:pic>
              </a:graphicData>
            </a:graphic>
          </wp:inline>
        </w:drawing>
      </w:r>
    </w:p>
    <w:p w14:paraId="53FCC5DF">
      <w:pPr>
        <w:jc w:val="both"/>
        <w:rPr>
          <w:rFonts w:hint="default"/>
          <w:lang w:val="en-US" w:eastAsia="zh-CN"/>
        </w:rPr>
      </w:pPr>
      <w:r>
        <w:rPr>
          <w:rFonts w:hint="eastAsia"/>
          <w:lang w:val="en-US" w:eastAsia="zh-CN"/>
        </w:rPr>
        <w:t>In</w:t>
      </w:r>
      <w:r>
        <w:rPr>
          <w:rFonts w:hint="default"/>
          <w:lang w:val="en-US" w:eastAsia="zh-CN"/>
        </w:rPr>
        <w:t xml:space="preserve"> this section, we will discuss 6G energy efficiency based on three principles of on-demand transmission with less ON and more OFF, simplified design and low-power signal design. Specifically, we firstly discuss 6G energy efficiency parameters and evaluation analysis even previous works in NR and IMT-2030 being discussed, and discuss the impact of energy efficiency considering on physical air interface technologies in 6G, then the analysis for potential 6G energy efficiency technologies being given from time domain/frequency domain/spatial domain and power domain, and finally we give LP signal design considering, including LP-WUS/LP-SS and other signals.</w:t>
      </w:r>
    </w:p>
    <w:p w14:paraId="5B256C1A">
      <w:pPr>
        <w:pStyle w:val="3"/>
        <w:rPr>
          <w:rFonts w:hint="default"/>
          <w:lang w:val="en-US" w:eastAsia="zh-CN"/>
        </w:rPr>
      </w:pPr>
      <w:r>
        <w:rPr>
          <w:rFonts w:hint="eastAsia"/>
          <w:lang w:val="en-US" w:eastAsia="zh-CN"/>
        </w:rPr>
        <w:t xml:space="preserve"> </w:t>
      </w:r>
      <w:r>
        <w:rPr>
          <w:rFonts w:hint="default"/>
          <w:lang w:val="en-US" w:eastAsia="zh-CN"/>
        </w:rPr>
        <w:t>6G energy efficiency parameter</w:t>
      </w:r>
      <w:r>
        <w:rPr>
          <w:rFonts w:hint="eastAsia"/>
          <w:lang w:val="en-US" w:eastAsia="zh-CN"/>
        </w:rPr>
        <w:t>s</w:t>
      </w:r>
    </w:p>
    <w:p w14:paraId="427CB897">
      <w:pPr>
        <w:rPr>
          <w:rFonts w:hint="eastAsia"/>
          <w:lang w:val="en-US" w:eastAsia="zh-CN"/>
        </w:rPr>
      </w:pPr>
      <w:r>
        <w:rPr>
          <w:rFonts w:hint="default"/>
          <w:lang w:val="en-US" w:eastAsia="zh-CN"/>
        </w:rPr>
        <w:t>Energy efficiency (EE) was identified as a key performance metric in both the initial 5G vision and the nascent 6G (IMT‑2030) framework. In the IMT‑2020 requirements, energy efficiency was formally defined on both network and device sides as the amount of information (bits) transmitted per unit of energy (Joule) consumed[1</w:t>
      </w:r>
      <w:r>
        <w:rPr>
          <w:rFonts w:hint="eastAsia"/>
          <w:lang w:val="en-US" w:eastAsia="zh-CN"/>
        </w:rPr>
        <w:t>4</w:t>
      </w:r>
      <w:r>
        <w:rPr>
          <w:rFonts w:hint="default"/>
          <w:lang w:val="en-US" w:eastAsia="zh-CN"/>
        </w:rPr>
        <w:t>]. This bit-per-Joule metric set a baseline for quantifying improvements in network and terminal energy usage. Building on that, the 6G IMT‑2030 vision broadened “sustainability” objectives: it retained the bit/Joule parameter for network energy consumption while also emphasizing factors like equipment longevity, repair/reuse, and recycling as part of overall EE expectations[</w:t>
      </w:r>
      <w:r>
        <w:rPr>
          <w:rFonts w:hint="eastAsia"/>
          <w:lang w:val="en-US" w:eastAsia="zh-CN"/>
        </w:rPr>
        <w:t>15</w:t>
      </w:r>
      <w:r>
        <w:rPr>
          <w:rFonts w:hint="default"/>
          <w:lang w:val="en-US" w:eastAsia="zh-CN"/>
        </w:rPr>
        <w:t>].</w:t>
      </w:r>
      <w:r>
        <w:rPr>
          <w:rFonts w:hint="eastAsia"/>
          <w:lang w:val="en-US" w:eastAsia="zh-CN"/>
        </w:rPr>
        <w:t xml:space="preserve"> Early 5G developments embedded energy efficiency as a design priority</w:t>
      </w:r>
      <w:r>
        <w:rPr>
          <w:rFonts w:hint="default"/>
          <w:lang w:val="en-US" w:eastAsia="zh-CN"/>
        </w:rPr>
        <w:t xml:space="preserve">, </w:t>
      </w:r>
      <w:r>
        <w:rPr>
          <w:rFonts w:hint="eastAsia"/>
          <w:lang w:val="en-US" w:eastAsia="zh-CN"/>
        </w:rPr>
        <w:t>aiming to maximize throughput per Watt and laid the groundwork for sustainability. This focus on EE was then amplified in IMT</w:t>
      </w:r>
      <w:r>
        <w:rPr>
          <w:rFonts w:hint="default"/>
          <w:lang w:val="en-US" w:eastAsia="zh-CN"/>
        </w:rPr>
        <w:t>-</w:t>
      </w:r>
      <w:r>
        <w:rPr>
          <w:rFonts w:hint="eastAsia"/>
          <w:lang w:val="en-US" w:eastAsia="zh-CN"/>
        </w:rPr>
        <w:t>2030 visioning, which explicitly made green network operation a core objective alongside traditional performance metrics, reflecting a shift toward more sustainable architectures in future mobile systems[15].</w:t>
      </w:r>
    </w:p>
    <w:p w14:paraId="6820F809">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7: The amount of information (bits) transmitted per unit of energy (Joule) as baseline parameter of energy efficiency has been defined in IMT-2020.</w:t>
      </w:r>
    </w:p>
    <w:p w14:paraId="1315AEBE">
      <w:pPr>
        <w:rPr>
          <w:rFonts w:hint="default"/>
          <w:lang w:val="en-US" w:eastAsia="zh-CN"/>
        </w:rPr>
      </w:pPr>
      <w:r>
        <w:rPr>
          <w:rFonts w:hint="default"/>
          <w:lang w:val="en-US" w:eastAsia="zh-CN"/>
        </w:rPr>
        <w:t>We adopt rational simulation assumptions aligned with IMT‑2030 sustainability goals and 3GPP guidelines (TR 38.840 &amp; TR 38.864). IMT‑2030 emphasizes “reduced environmental impact through energy‑efficient systems”[7][8][16], aiming for orders-of-magnitude improvements in network energy efficiency (e.g. 6G targeting ~100× higher bit/J than 5G)[17]. Accordingly, the 3GPP study on network energy savings (TR 38.864) defines a standardized base station power model and evaluation method, focusing on techniques like deep sleep and adaptive power scaling to minimize energy use at low traffic loads. Using these frameworks, we compare Config A (baseline 6G) and Config B (optimized 6G) in three key scenarios: energy efficiency vs load, daily power profile.</w:t>
      </w:r>
    </w:p>
    <w:p w14:paraId="3DB9BE58">
      <w:pPr>
        <w:jc w:val="center"/>
        <w:rPr>
          <w:rFonts w:hint="default"/>
          <w:lang w:val="en-US" w:eastAsia="zh-CN"/>
        </w:rPr>
      </w:pPr>
      <w:r>
        <w:drawing>
          <wp:inline distT="0" distB="0" distL="114300" distR="114300">
            <wp:extent cx="2619375" cy="1591310"/>
            <wp:effectExtent l="0" t="0" r="22225" b="889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11"/>
                    <a:srcRect t="8070"/>
                    <a:stretch>
                      <a:fillRect/>
                    </a:stretch>
                  </pic:blipFill>
                  <pic:spPr>
                    <a:xfrm>
                      <a:off x="0" y="0"/>
                      <a:ext cx="2619375" cy="1591310"/>
                    </a:xfrm>
                    <a:prstGeom prst="rect">
                      <a:avLst/>
                    </a:prstGeom>
                    <a:noFill/>
                    <a:ln w="9525">
                      <a:noFill/>
                    </a:ln>
                  </pic:spPr>
                </pic:pic>
              </a:graphicData>
            </a:graphic>
          </wp:inline>
        </w:drawing>
      </w:r>
    </w:p>
    <w:p w14:paraId="5F72CD87">
      <w:pPr>
        <w:rPr>
          <w:rFonts w:hint="default"/>
          <w:lang w:val="en-US" w:eastAsia="zh-CN"/>
        </w:rPr>
      </w:pPr>
      <w:r>
        <w:rPr>
          <w:rFonts w:hint="eastAsia"/>
          <w:lang w:val="en-US" w:eastAsia="zh-CN"/>
        </w:rPr>
        <w:t>As</w:t>
      </w:r>
      <w:r>
        <w:rPr>
          <w:rFonts w:hint="default"/>
          <w:lang w:val="en-US" w:eastAsia="zh-CN"/>
        </w:rPr>
        <w:t xml:space="preserve"> shown in figure above, peak throughput energy efficiency (network bit/J) versus traffic load for baseline 6G (Config A) and optimized 6G (Config B). Config B consistently delivers higher bits per Joule across all load levels by reducing baseline power draw. Notably, at very low load the energy efficiency of Config A drops to nearly zero (since the base station still consumes power but carries almost no traffic). Config B’s architectural improvements (e.g. shutting down RF chains and other hardware in deep sleep) allow it to sustain far better efficiency at low loads. As load increases, both configurations improve in bit/J, reaching peak efficiency at 100% load; Config B maintains a ~10% higher peak efficiency due to more efficient components. This trend reflects 3GPP’s finding that modern RAN energy efficiency is high at full load, but degrades when traffic is light—an issue Config B addresses by scaling power with demand.</w:t>
      </w:r>
    </w:p>
    <w:p w14:paraId="3147ABA3">
      <w:pPr>
        <w:jc w:val="center"/>
        <w:rPr>
          <w:rFonts w:hint="default"/>
          <w:lang w:val="en-US" w:eastAsia="zh-CN"/>
        </w:rPr>
      </w:pPr>
      <w:r>
        <w:drawing>
          <wp:inline distT="0" distB="0" distL="114300" distR="114300">
            <wp:extent cx="2647950" cy="1431290"/>
            <wp:effectExtent l="0" t="0" r="0" b="0"/>
            <wp:docPr id="3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pic:cNvPicPr>
                      <a:picLocks noChangeAspect="1" noChangeArrowheads="1"/>
                    </pic:cNvPicPr>
                  </pic:nvPicPr>
                  <pic:blipFill>
                    <a:blip r:embed="rId12"/>
                    <a:srcRect t="9150"/>
                    <a:stretch>
                      <a:fillRect/>
                    </a:stretch>
                  </pic:blipFill>
                  <pic:spPr>
                    <a:xfrm>
                      <a:off x="0" y="0"/>
                      <a:ext cx="2647950" cy="1431290"/>
                    </a:xfrm>
                    <a:prstGeom prst="rect">
                      <a:avLst/>
                    </a:prstGeom>
                    <a:noFill/>
                    <a:ln w="9525">
                      <a:noFill/>
                    </a:ln>
                  </pic:spPr>
                </pic:pic>
              </a:graphicData>
            </a:graphic>
          </wp:inline>
        </w:drawing>
      </w:r>
    </w:p>
    <w:p w14:paraId="06EB646F">
      <w:pPr>
        <w:rPr>
          <w:rFonts w:hint="default"/>
          <w:lang w:val="en-US" w:eastAsia="zh-CN"/>
        </w:rPr>
      </w:pPr>
      <w:r>
        <w:rPr>
          <w:rFonts w:hint="eastAsia"/>
          <w:lang w:val="en-US" w:eastAsia="zh-CN"/>
        </w:rPr>
        <w:t>As</w:t>
      </w:r>
      <w:r>
        <w:rPr>
          <w:rFonts w:hint="default"/>
          <w:lang w:val="en-US" w:eastAsia="zh-CN"/>
        </w:rPr>
        <w:t xml:space="preserve"> shown in figure above, power consumption over a 24‑hour traffic cycle (one base station). The daily load curve (typical busy-day pattern with busy mid-day/evening and idle overnight) is applied to Config A and Config B. Config A (baseline) shows a high constant power draw even during idle periods (overnight), e.g. staying near ~300 W at 3 AM when traffic is zero. This is because legacy base stations must keep transmitting reference signals and remain fully active to handle any incoming traffic. In contrast, Config B (optimized) uses enhanced sleep modes: during low-traffic hours it enters deep sleep, shutting off most transmitters to draw only ~50 W for minimal beaconing and control. When traffic increases (daytime peaks), Config B swiftly reactivates hardware modules to meet demand, but still consumes less than Config A at equivalent load (due to more efficient power scaling). For example, around the 12–6 PM high-load period, Config B’s power is several hundred watts lower than Config A’s for the same traffic, demonstrating improved power scaling. These results highlight how deep sleep and dynamic resource adaptation in Config B significantly cut energy use during idle or light load periods, aligning with 3GPP’s defined sleep states (micro/light/deep) for NR base stations[8][18].</w:t>
      </w:r>
    </w:p>
    <w:p w14:paraId="077ECB1A">
      <w:pPr>
        <w:rPr>
          <w:rFonts w:hint="default"/>
          <w:lang w:val="en-US" w:eastAsia="zh-CN"/>
        </w:rPr>
      </w:pPr>
      <w:r>
        <w:rPr>
          <w:rFonts w:hint="default" w:ascii="Times New Roman Bold Italic" w:hAnsi="Times New Roman Bold Italic" w:cs="Times New Roman Bold Italic"/>
          <w:b/>
          <w:bCs/>
          <w:i/>
          <w:iCs/>
          <w:lang w:val="en-US" w:eastAsia="zh-CN"/>
        </w:rPr>
        <w:t>Observation 8: Simulation results highlight how deep sleep and dynamic resource adaptation in Config B significantly cut energy use during idle or light load periods, aligning with 3GPP’s defined sleep states (micro/light/deep) for NR base stations.</w:t>
      </w:r>
    </w:p>
    <w:p w14:paraId="242E61F1">
      <w:pPr>
        <w:outlineLvl w:val="2"/>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4.1.1 Network or UE energy efficiency parameters</w:t>
      </w:r>
    </w:p>
    <w:p w14:paraId="1BEDEDBB">
      <w:pPr>
        <w:rPr>
          <w:rFonts w:hint="default"/>
          <w:lang w:val="en-US" w:eastAsia="zh-CN"/>
        </w:rPr>
      </w:pPr>
      <w:r>
        <w:rPr>
          <w:rFonts w:hint="default"/>
          <w:lang w:val="en-US" w:eastAsia="zh-CN"/>
        </w:rPr>
        <w:t xml:space="preserve">To benchmark 6G energy efficiency in 6G day 1, one must first define clear parameters for network or UE performance. A fundamental measure is the throughput per unit energy (e.g. </w:t>
      </w:r>
      <w:r>
        <w:rPr>
          <w:rFonts w:hint="eastAsia"/>
          <w:lang w:val="en-US" w:eastAsia="zh-CN"/>
        </w:rPr>
        <w:t>bit</w:t>
      </w:r>
      <w:r>
        <w:rPr>
          <w:rFonts w:hint="default"/>
          <w:lang w:val="en-US" w:eastAsia="zh-CN"/>
        </w:rPr>
        <w:t>/J, sometimes expressed as “bps/W”). This captures how efficiently a terminal or base station can carry data for a given energy input. However, single metrics like bit/J need to be complemented with other aspects for a holistic view. Based on LTE/NR study, few potential parameters may be considered for 6G design:</w:t>
      </w:r>
    </w:p>
    <w:p w14:paraId="28319497">
      <w:pPr>
        <w:numPr>
          <w:ilvl w:val="0"/>
          <w:numId w:val="15"/>
        </w:numPr>
        <w:ind w:left="420" w:leftChars="0" w:hanging="420" w:firstLineChars="0"/>
        <w:rPr>
          <w:rFonts w:hint="default"/>
          <w:lang w:val="en-US" w:eastAsia="zh-CN"/>
        </w:rPr>
      </w:pPr>
      <w:r>
        <w:rPr>
          <w:rFonts w:hint="default" w:ascii="Times New Roman Bold" w:hAnsi="Times New Roman Bold" w:cs="Times New Roman Bold"/>
          <w:b/>
          <w:bCs/>
          <w:lang w:val="en-US" w:eastAsia="zh-CN"/>
        </w:rPr>
        <w:t>Active Data Energy Efficiency (bit/J):</w:t>
      </w:r>
      <w:r>
        <w:rPr>
          <w:rFonts w:hint="default"/>
          <w:lang w:val="en-US" w:eastAsia="zh-CN"/>
        </w:rPr>
        <w:t xml:space="preserve"> The number of bits successfully transmitted per Joule during active operation, measured under defined load conditions (e.g. peak throughput). This quantifies how much useful data a network or UE can deliver for each unit of energy.</w:t>
      </w:r>
    </w:p>
    <w:p w14:paraId="0F858A8C">
      <w:pPr>
        <w:numPr>
          <w:ilvl w:val="0"/>
          <w:numId w:val="15"/>
        </w:numPr>
        <w:ind w:left="420" w:leftChars="0" w:hanging="420" w:firstLineChars="0"/>
        <w:rPr>
          <w:rFonts w:hint="default"/>
          <w:lang w:val="en-US" w:eastAsia="zh-CN"/>
        </w:rPr>
      </w:pPr>
      <w:r>
        <w:rPr>
          <w:rFonts w:hint="default" w:ascii="Times New Roman Bold" w:hAnsi="Times New Roman Bold" w:cs="Times New Roman Bold"/>
          <w:b/>
          <w:bCs/>
          <w:lang w:val="en-US" w:eastAsia="zh-CN"/>
        </w:rPr>
        <w:t>Idle Power Consumption:</w:t>
      </w:r>
      <w:r>
        <w:rPr>
          <w:rFonts w:hint="default"/>
          <w:lang w:val="en-US" w:eastAsia="zh-CN"/>
        </w:rPr>
        <w:t xml:space="preserve"> The baseline power draw when the device or cell is in an idle or no-traffic state. This “standby” consumption indicates energy overhead when no user data is being exchanged – a critical factor for long-term battery life and network energy waste.</w:t>
      </w:r>
    </w:p>
    <w:p w14:paraId="367B9B9F">
      <w:pPr>
        <w:numPr>
          <w:ilvl w:val="0"/>
          <w:numId w:val="15"/>
        </w:numPr>
        <w:ind w:left="420" w:leftChars="0" w:hanging="420" w:firstLineChars="0"/>
        <w:rPr>
          <w:rFonts w:hint="default"/>
          <w:lang w:val="en-US" w:eastAsia="zh-CN"/>
        </w:rPr>
      </w:pPr>
      <w:r>
        <w:rPr>
          <w:rFonts w:hint="default" w:ascii="Times New Roman Bold" w:hAnsi="Times New Roman Bold" w:cs="Times New Roman Bold"/>
          <w:b/>
          <w:bCs/>
          <w:lang w:val="en-US" w:eastAsia="zh-CN"/>
        </w:rPr>
        <w:t>Wake-up/Transition Efficiency:</w:t>
      </w:r>
      <w:r>
        <w:rPr>
          <w:rFonts w:hint="default"/>
          <w:lang w:val="en-US" w:eastAsia="zh-CN"/>
        </w:rPr>
        <w:t xml:space="preserve"> The energy and time cost to go from an idle or sleep state to an active state delivering data. This reflects the efficiency of mechanisms like wake-up radios and fast dormancy; an ideal terminal has ultra-low standby drain and can resume full service with minimal energy overhead. A 6G device might be rated on how effectively it leverages a WUR to listen for network triggers while letting the main transceiver sleep, thereby keeping “always-on” energy to a minimum.</w:t>
      </w:r>
    </w:p>
    <w:p w14:paraId="09629CBD">
      <w:pPr>
        <w:numPr>
          <w:ilvl w:val="0"/>
          <w:numId w:val="0"/>
        </w:numPr>
        <w:ind w:leftChars="0"/>
        <w:rPr>
          <w:rFonts w:hint="default"/>
          <w:lang w:val="en-US" w:eastAsia="zh-CN"/>
        </w:rPr>
      </w:pPr>
      <w:r>
        <w:rPr>
          <w:rFonts w:hint="default" w:ascii="Times New Roman Bold Italic" w:hAnsi="Times New Roman Bold Italic" w:cs="Times New Roman Bold Italic"/>
          <w:b/>
          <w:bCs/>
          <w:i/>
          <w:iCs/>
          <w:lang w:val="en-US" w:eastAsia="zh-CN"/>
        </w:rPr>
        <w:t>Observation 9: Single metric like bit/J need to be complemented with other aspects for a holistic view, other potential parameters may be considered for 6G study like active data energy efficiency, idle power consumption, or wake-up/transition efficiency, etc.</w:t>
      </w:r>
    </w:p>
    <w:p w14:paraId="6ACFF948">
      <w:pPr>
        <w:outlineLvl w:val="2"/>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4.1.2 End to end energy efficiency parameters</w:t>
      </w:r>
    </w:p>
    <w:p w14:paraId="57512AE4">
      <w:pPr>
        <w:rPr>
          <w:rFonts w:hint="default"/>
          <w:lang w:val="en-US" w:eastAsia="zh-CN"/>
        </w:rPr>
      </w:pPr>
      <w:r>
        <w:rPr>
          <w:rFonts w:hint="default"/>
          <w:lang w:val="en-US" w:eastAsia="zh-CN"/>
        </w:rPr>
        <w:t>A crucial design question is whether to define energy efficiency parameters separately for terminals and infrastructure, or to adopt an integrated end-to-end metric.</w:t>
      </w:r>
      <w:r>
        <w:rPr>
          <w:rFonts w:hint="eastAsia"/>
          <w:lang w:val="en-US" w:eastAsia="zh-CN"/>
        </w:rPr>
        <w:t xml:space="preserve"> </w:t>
      </w:r>
      <w:r>
        <w:rPr>
          <w:rFonts w:hint="default"/>
          <w:lang w:val="en-US" w:eastAsia="zh-CN"/>
        </w:rPr>
        <w:t xml:space="preserve">Defining separate parameters for UEs and network nodes has the advantage of tailoring benchmarks to each side’s characteristics. A handset’s parameter drives chip and OS optimizations, e.g., reducing RF chain power, screen-off radio policies, while a network parameter drives RAN hardware improvements, e.g. more efficient antenna designs, cooling and power supply, and operational strategies like turning off unused carriers. However, 6G might also consider the end-to-end energy efficiency of the communication system. Ultimately, the energy consumed to send a bit from a content server to a user’s device (including network + </w:t>
      </w:r>
      <w:r>
        <w:rPr>
          <w:rFonts w:hint="eastAsia"/>
          <w:lang w:val="en-US" w:eastAsia="zh-CN"/>
        </w:rPr>
        <w:t>UE</w:t>
      </w:r>
      <w:r>
        <w:rPr>
          <w:rFonts w:hint="default"/>
          <w:lang w:val="en-US" w:eastAsia="zh-CN"/>
        </w:rPr>
        <w:t>) is what matters for sustainability.</w:t>
      </w:r>
    </w:p>
    <w:p w14:paraId="35DC7F39">
      <w:pPr>
        <w:rPr>
          <w:rFonts w:hint="default"/>
          <w:lang w:val="en-US" w:eastAsia="zh-CN"/>
        </w:rPr>
      </w:pPr>
      <w:r>
        <w:rPr>
          <w:rFonts w:hint="default"/>
          <w:lang w:val="en-US" w:eastAsia="zh-CN"/>
        </w:rPr>
        <w:t>In practice, end-to-end metrics are harder to allocate and implement since operators and users manage different portions of the power budget, and business models are separate. A likely approach is a hybrid: maintain separate terminal and network EE ratings, but provide a mechanism or combined score to reflect cases where both sides collaborate effectively.</w:t>
      </w:r>
    </w:p>
    <w:p w14:paraId="1B1CBDD1">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10: Except defining separate energy efficiency parameters for UEs and network nodes, 6G might also consider the end-to-end energy efficiency of the communication system. However, end-to-end metrics are harder to allocate and implement since operators and users manage different portions of the power budget, and business models are separate.</w:t>
      </w:r>
    </w:p>
    <w:p w14:paraId="01E9FFC7">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3: Consider whether/how to define energy efficiency parameters in 6G systems, including UE side energy efficiency or NW side energy efficiency or end-to-end (including NW+UE) energy efficiency.</w:t>
      </w:r>
    </w:p>
    <w:p w14:paraId="23888448">
      <w:pPr>
        <w:outlineLvl w:val="2"/>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4.1.3 Tradeoff between energy efficiency and spectrum efficiency/QoS</w:t>
      </w:r>
    </w:p>
    <w:p w14:paraId="28980E9F">
      <w:pPr>
        <w:pStyle w:val="83"/>
        <w:rPr>
          <w:rFonts w:hint="default" w:ascii="Times New Roman" w:hAnsi="Times New Roman" w:cs="Times New Roman"/>
          <w:b w:val="0"/>
          <w:bCs w:val="0"/>
          <w:sz w:val="22"/>
          <w:szCs w:val="22"/>
        </w:rPr>
      </w:pPr>
      <w:r>
        <w:rPr>
          <w:rFonts w:hint="default" w:ascii="Times New Roman" w:hAnsi="Times New Roman" w:cs="Times New Roman"/>
          <w:b w:val="0"/>
          <w:bCs w:val="0"/>
          <w:sz w:val="22"/>
          <w:szCs w:val="22"/>
          <w:lang w:val="en-US" w:eastAsia="zh-CN"/>
        </w:rPr>
        <w:t xml:space="preserve">As we know, </w:t>
      </w:r>
      <w:r>
        <w:rPr>
          <w:rFonts w:hint="default" w:ascii="Times New Roman" w:hAnsi="Times New Roman" w:cs="Times New Roman"/>
          <w:b w:val="0"/>
          <w:bCs w:val="0"/>
          <w:sz w:val="22"/>
          <w:szCs w:val="22"/>
          <w:lang w:val="en-US"/>
        </w:rPr>
        <w:t>a</w:t>
      </w:r>
      <w:r>
        <w:rPr>
          <w:rFonts w:hint="default" w:ascii="Times New Roman" w:hAnsi="Times New Roman" w:cs="Times New Roman"/>
          <w:b w:val="0"/>
          <w:bCs w:val="0"/>
          <w:sz w:val="22"/>
          <w:szCs w:val="22"/>
        </w:rPr>
        <w:t>chieving simultaneous gains in energy efficiency, spectrum efficiency</w:t>
      </w:r>
      <w:r>
        <w:rPr>
          <w:rFonts w:hint="default" w:ascii="Times New Roman" w:hAnsi="Times New Roman" w:cs="Times New Roman"/>
          <w:b w:val="0"/>
          <w:bCs w:val="0"/>
          <w:sz w:val="22"/>
          <w:szCs w:val="22"/>
          <w:lang w:val="en-US"/>
        </w:rPr>
        <w:t>(SE)</w:t>
      </w:r>
      <w:r>
        <w:rPr>
          <w:rFonts w:hint="default" w:ascii="Times New Roman" w:hAnsi="Times New Roman" w:cs="Times New Roman"/>
          <w:b w:val="0"/>
          <w:bCs w:val="0"/>
          <w:sz w:val="22"/>
          <w:szCs w:val="22"/>
        </w:rPr>
        <w:t>, and quality of service (QoS) is inherently challenging due to physical limits. Maximizing SE (bits/Hz) often demands higher transmit power or complex signaling, which raises energy consumption–a fundamental trade-off between spectral and energy efficiency. Likewise, aggressive energy-saving measures (e.g. turning off radios or using minimal signaling) can degrade QoS, since reducing power or resources tends to sacrifice throughput, latency, or reliability. For example, meeting ultra-reliable low-latency QoS targets may require redundant transmissions or strong coding, consuming extra spectrum and power. These basic conflicts mean 6G design must carefully balance capacity, power, and service quality rather than simply maximizing each in isolation.</w:t>
      </w:r>
    </w:p>
    <w:p w14:paraId="75E84724">
      <w:pPr>
        <w:pStyle w:val="17"/>
        <w:rPr>
          <w:rFonts w:hint="eastAsia"/>
          <w:sz w:val="22"/>
          <w:szCs w:val="22"/>
        </w:rPr>
      </w:pPr>
      <w:r>
        <w:rPr>
          <w:rFonts w:hint="eastAsia"/>
          <w:sz w:val="22"/>
          <w:szCs w:val="22"/>
        </w:rPr>
        <w:t>Both the IMT-2030 vision and 3GPP’s 6G efforts recognize that future networks must optimize these metrics jointly. IMT-2030 framework explicitly calls for improving energy efficiency (bits</w:t>
      </w:r>
      <w:r>
        <w:rPr>
          <w:rFonts w:hint="eastAsia"/>
          <w:sz w:val="22"/>
          <w:szCs w:val="22"/>
          <w:lang w:val="en-US" w:eastAsia="zh-CN"/>
        </w:rPr>
        <w:t>/</w:t>
      </w:r>
      <w:r>
        <w:rPr>
          <w:rFonts w:hint="eastAsia"/>
          <w:sz w:val="22"/>
          <w:szCs w:val="22"/>
        </w:rPr>
        <w:t>J) in step with capacity increases to minimize overall power usage, reflecting a goal to boost SE and EE together where possible</w:t>
      </w:r>
      <w:r>
        <w:rPr>
          <w:rFonts w:hint="default"/>
          <w:sz w:val="22"/>
          <w:szCs w:val="22"/>
          <w:lang w:val="en-US"/>
        </w:rPr>
        <w:t>[16]</w:t>
      </w:r>
      <w:r>
        <w:rPr>
          <w:rFonts w:hint="eastAsia"/>
          <w:sz w:val="22"/>
          <w:szCs w:val="22"/>
        </w:rPr>
        <w:t>. At the same time, 3GPP has emphasized balancing energy savings with performance requirements</w:t>
      </w:r>
      <w:r>
        <w:rPr>
          <w:rFonts w:hint="default"/>
          <w:sz w:val="22"/>
          <w:szCs w:val="22"/>
          <w:lang w:val="en-US"/>
        </w:rPr>
        <w:t xml:space="preserve">. Thus, </w:t>
      </w:r>
      <w:r>
        <w:rPr>
          <w:rFonts w:hint="eastAsia"/>
          <w:sz w:val="22"/>
          <w:szCs w:val="22"/>
          <w:lang w:val="en-US" w:eastAsia="zh-CN"/>
        </w:rPr>
        <w:t>EE</w:t>
      </w:r>
      <w:r>
        <w:rPr>
          <w:rFonts w:hint="eastAsia"/>
          <w:sz w:val="22"/>
          <w:szCs w:val="22"/>
        </w:rPr>
        <w:t xml:space="preserve"> features should not undermine meeting QoS targets, security, or other key performance objectives. In practice, this means 6G will sometimes trade a bit of spectral efficiency or peak throughput to drastically cut energy use, or vice versa, depending on the service needs. For instance, massive IoT devices (mMTC) may operate at modest data rates to prolong battery life (prioritizing EE), while eMBB applications can leverage abundant spectrum and power to maximize throughput (prioritizing SE), and URLLC links will consume whatever resources necessary to guarantee critical QoS. The 6G RAN #108 meeting underlined a holistic approach: previously separate concerns like energy efficiency are now integrated as core design objectives of a unified 6G architecture. There is a“relentless focus” on boosting spectral efficiency via new waveforms and massive MIMO alongside built-in mechanisms for sustainability. The 6G radio access network will likely be adaptive to intelligently balance SE, EE, and QoS per scenario, ensuring that high performance and low latency are delivered when needed, while idle resources are minimized to save energy. In essence, 6G aims to resolve the tension among these goals by designing for synergy: leveraging advanced technologies to push the efficiency frontier, yet accepting trade-offs and dynamic adjustments to meet diverse use-case requirements within fundamental limits.</w:t>
      </w:r>
    </w:p>
    <w:p w14:paraId="4295DD5F">
      <w:pPr>
        <w:pStyle w:val="17"/>
        <w:rPr>
          <w:rFonts w:hint="default" w:ascii="Times New Roman Bold Italic" w:hAnsi="Times New Roman Bold Italic" w:cs="Times New Roman Bold Italic"/>
          <w:b/>
          <w:bCs/>
          <w:i/>
          <w:iCs/>
          <w:sz w:val="22"/>
          <w:szCs w:val="22"/>
          <w:lang w:val="en-US"/>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11</w:t>
      </w:r>
      <w:r>
        <w:rPr>
          <w:rFonts w:hint="default" w:ascii="Times New Roman Bold Italic" w:hAnsi="Times New Roman Bold Italic" w:cs="Times New Roman Bold Italic"/>
          <w:b/>
          <w:bCs/>
          <w:i/>
          <w:iCs/>
          <w:sz w:val="22"/>
          <w:szCs w:val="22"/>
          <w:lang w:val="en-US" w:eastAsia="zh-CN"/>
        </w:rPr>
        <w:t xml:space="preserve">: </w:t>
      </w:r>
      <w:r>
        <w:rPr>
          <w:rFonts w:hint="default" w:ascii="Times New Roman Bold Italic" w:hAnsi="Times New Roman Bold Italic" w:cs="Times New Roman Bold Italic"/>
          <w:b/>
          <w:bCs/>
          <w:i/>
          <w:iCs/>
          <w:sz w:val="22"/>
          <w:szCs w:val="22"/>
        </w:rPr>
        <w:t>IMT-2030 framework explicitly calls for improving energy efficiency (bits</w:t>
      </w:r>
      <w:r>
        <w:rPr>
          <w:rFonts w:hint="default" w:ascii="Times New Roman Bold Italic" w:hAnsi="Times New Roman Bold Italic" w:cs="Times New Roman Bold Italic"/>
          <w:b/>
          <w:bCs/>
          <w:i/>
          <w:iCs/>
          <w:sz w:val="22"/>
          <w:szCs w:val="22"/>
          <w:lang w:val="en-US" w:eastAsia="zh-CN"/>
        </w:rPr>
        <w:t>/</w:t>
      </w:r>
      <w:r>
        <w:rPr>
          <w:rFonts w:hint="default" w:ascii="Times New Roman Bold Italic" w:hAnsi="Times New Roman Bold Italic" w:cs="Times New Roman Bold Italic"/>
          <w:b/>
          <w:bCs/>
          <w:i/>
          <w:iCs/>
          <w:sz w:val="22"/>
          <w:szCs w:val="22"/>
        </w:rPr>
        <w:t>J) in step with capacity increases to minimize overall power usage, reflecting a goal to boost SE and EE together where possible</w:t>
      </w:r>
      <w:r>
        <w:rPr>
          <w:rFonts w:hint="default" w:ascii="Times New Roman Bold Italic" w:hAnsi="Times New Roman Bold Italic" w:cs="Times New Roman Bold Italic"/>
          <w:b/>
          <w:bCs/>
          <w:i/>
          <w:iCs/>
          <w:sz w:val="22"/>
          <w:szCs w:val="22"/>
          <w:lang w:val="en-US"/>
        </w:rPr>
        <w:t>, which is up to the services needs.</w:t>
      </w:r>
    </w:p>
    <w:p w14:paraId="297D0029">
      <w:pPr>
        <w:pStyle w:val="17"/>
        <w:rPr>
          <w:rFonts w:hint="default"/>
          <w:sz w:val="22"/>
          <w:szCs w:val="22"/>
          <w:lang w:val="en-US" w:eastAsia="zh-CN"/>
        </w:rPr>
      </w:pPr>
      <w:r>
        <w:rPr>
          <w:rFonts w:hint="default" w:ascii="Times New Roman Bold Italic" w:hAnsi="Times New Roman Bold Italic" w:cs="Times New Roman Bold Italic"/>
          <w:b/>
          <w:bCs/>
          <w:i/>
          <w:iCs/>
          <w:sz w:val="22"/>
          <w:szCs w:val="22"/>
          <w:lang w:val="en-US"/>
        </w:rPr>
        <w:t xml:space="preserve">Observation </w:t>
      </w:r>
      <w:r>
        <w:rPr>
          <w:rFonts w:hint="eastAsia" w:ascii="Times New Roman Bold Italic" w:hAnsi="Times New Roman Bold Italic" w:cs="Times New Roman Bold Italic"/>
          <w:b/>
          <w:bCs/>
          <w:i/>
          <w:iCs/>
          <w:sz w:val="22"/>
          <w:szCs w:val="22"/>
          <w:lang w:val="en-US" w:eastAsia="zh-CN"/>
        </w:rPr>
        <w:t>12</w:t>
      </w:r>
      <w:r>
        <w:rPr>
          <w:rFonts w:hint="default" w:ascii="Times New Roman Bold Italic" w:hAnsi="Times New Roman Bold Italic" w:cs="Times New Roman Bold Italic"/>
          <w:b/>
          <w:bCs/>
          <w:i/>
          <w:iCs/>
          <w:sz w:val="22"/>
          <w:szCs w:val="22"/>
          <w:lang w:val="en-US"/>
        </w:rPr>
        <w:t xml:space="preserve">: </w:t>
      </w:r>
      <w:r>
        <w:rPr>
          <w:rFonts w:hint="default" w:ascii="Times New Roman Bold Italic" w:hAnsi="Times New Roman Bold Italic" w:cs="Times New Roman Bold Italic"/>
          <w:b/>
          <w:bCs/>
          <w:i/>
          <w:iCs/>
          <w:sz w:val="22"/>
          <w:szCs w:val="22"/>
        </w:rPr>
        <w:t>The 6G radio access network will likely be adaptive to intelligently balance SE, EE, and QoS per scenario, ensuring that high performance and low latency are delivered when needed, while idle resources are minimized to save energy</w:t>
      </w:r>
    </w:p>
    <w:p w14:paraId="713A9317">
      <w:pPr>
        <w:pStyle w:val="3"/>
        <w:rPr>
          <w:rFonts w:hint="default"/>
          <w:lang w:val="en-US" w:eastAsia="zh-CN"/>
        </w:rPr>
      </w:pPr>
      <w:r>
        <w:rPr>
          <w:rFonts w:hint="default"/>
          <w:lang w:val="en-US" w:eastAsia="zh-CN"/>
        </w:rPr>
        <w:t xml:space="preserve"> Physical air interface technologies for 6G</w:t>
      </w:r>
      <w:r>
        <w:rPr>
          <w:rFonts w:hint="eastAsia"/>
          <w:lang w:val="en-US" w:eastAsia="zh-CN"/>
        </w:rPr>
        <w:t>R</w:t>
      </w:r>
      <w:r>
        <w:rPr>
          <w:rFonts w:hint="default"/>
          <w:lang w:val="en-US" w:eastAsia="zh-CN"/>
        </w:rPr>
        <w:t xml:space="preserve"> energy efficiency</w:t>
      </w:r>
    </w:p>
    <w:p w14:paraId="50310D11">
      <w:pPr>
        <w:rPr>
          <w:rFonts w:hint="default"/>
          <w:lang w:val="en-US" w:eastAsia="zh-CN"/>
        </w:rPr>
      </w:pPr>
      <w:r>
        <w:rPr>
          <w:rFonts w:hint="default"/>
          <w:lang w:val="en-US" w:eastAsia="zh-CN"/>
        </w:rPr>
        <w:t xml:space="preserve">This </w:t>
      </w:r>
      <w:r>
        <w:rPr>
          <w:rFonts w:hint="eastAsia"/>
          <w:lang w:val="en-US" w:eastAsia="zh-CN"/>
        </w:rPr>
        <w:t>sub</w:t>
      </w:r>
      <w:r>
        <w:rPr>
          <w:rFonts w:hint="default"/>
          <w:lang w:val="en-US" w:eastAsia="zh-CN"/>
        </w:rPr>
        <w:t>-section analyzes how key physical layer design elements (e.g., waveform, modulation, coding/FEC, frame structure, and sequence design) affect 6G energy efficiency. It highlights techniques such as SC-FDMA, constant-envelope modulation, low-complexity FEC, deep sleep frame design, and robust wake-up sequences as critical for reducing UE power consumption, improving PA efficiency, and enabling ultra-low-power operation across diverse 6G use cases.</w:t>
      </w:r>
    </w:p>
    <w:p w14:paraId="232E8EB0">
      <w:pPr>
        <w:numPr>
          <w:ilvl w:val="0"/>
          <w:numId w:val="16"/>
        </w:numPr>
        <w:ind w:left="420" w:leftChars="0" w:hanging="420" w:firstLineChars="0"/>
        <w:rPr>
          <w:rFonts w:hint="default" w:eastAsia="宋体"/>
          <w:lang w:val="en-US" w:eastAsia="zh-CN"/>
        </w:rPr>
      </w:pPr>
      <w:r>
        <w:rPr>
          <w:rFonts w:hint="default" w:ascii="Times New Roman Bold" w:hAnsi="Times New Roman Bold" w:eastAsia="宋体" w:cs="Times New Roman Bold"/>
          <w:b/>
          <w:bCs/>
          <w:lang w:val="en-US" w:eastAsia="zh-CN"/>
        </w:rPr>
        <w:t>Waveform Selection and PAPR Efficiency:</w:t>
      </w:r>
      <w:r>
        <w:rPr>
          <w:rFonts w:hint="default" w:eastAsia="宋体"/>
          <w:lang w:val="en-US" w:eastAsia="zh-CN"/>
        </w:rPr>
        <w:t xml:space="preserve"> OFDM is spectrally efficient but has high PAPR, reducing PA efficiency. Uplink SC-FDMA lowers PAPR, letting UEs operate PAs closer to saturation. NB-IoT’s single-tone uplink offers constant-envelope transmission with minimal PA back-off. For LP-WUS or LP-SS, hybrid OFDM-OOK encodes bits as the presence/absence of energy in each OFDM symbol, enabling simple envelope detection while remaining NR-compatible. Future 6G may deploy multiple waveforms, include that standard OFDM for high-rate users and ultra-narrowband constant-envelope schemes for LPWA devices or WUR. This flexible approach balances spectral coexistence with device power constraints, allowing efficient operation across diverse 6G use cases.</w:t>
      </w:r>
    </w:p>
    <w:p w14:paraId="4F3F9B54">
      <w:pPr>
        <w:numPr>
          <w:ilvl w:val="0"/>
          <w:numId w:val="17"/>
        </w:numPr>
        <w:ind w:left="420" w:leftChars="0" w:hanging="420" w:firstLineChars="0"/>
        <w:rPr>
          <w:rFonts w:hint="default"/>
          <w:lang w:val="en-US" w:eastAsia="zh-CN"/>
        </w:rPr>
      </w:pPr>
      <w:r>
        <w:rPr>
          <w:rFonts w:hint="default" w:ascii="Times New Roman Bold" w:hAnsi="Times New Roman Bold" w:cs="Times New Roman Bold"/>
          <w:b/>
          <w:bCs/>
          <w:lang w:val="en-US" w:eastAsia="zh-CN"/>
        </w:rPr>
        <w:t>Modulation Schemes and PA Efficiency:</w:t>
      </w:r>
      <w:r>
        <w:rPr>
          <w:rFonts w:hint="default"/>
          <w:lang w:val="en-US" w:eastAsia="zh-CN"/>
        </w:rPr>
        <w:t xml:space="preserve"> Low-order constant-envelope modulations (e.g., BPSK or QPSK) reduce PA linearity needs and decoding complexity. BPSK offers ~3 dB SNR gain over OOK and supports high PA efficiency. pi/2-BPSK in NR uplink further lowers PAPR. OOK enables ultra-simple envelope detection for passive or wake-up reception but suffers from noise sensitivity, requiring strong FEC or low rates. FSK and CP-FSK provide non-coherent detection with robustness at low SNR, at the expense of bandwidth efficiency. 6G should adapt modulation choice to LPWA device energy budgets: e.g., OOK for wake-up, BPSK/QPSK for active low-power uplink, and FSK variants for passive multi-tag scenarios.</w:t>
      </w:r>
    </w:p>
    <w:p w14:paraId="67D3C480">
      <w:pPr>
        <w:numPr>
          <w:ilvl w:val="0"/>
          <w:numId w:val="17"/>
        </w:numPr>
        <w:ind w:left="420" w:leftChars="0" w:hanging="420" w:firstLineChars="0"/>
        <w:rPr>
          <w:rFonts w:hint="default"/>
          <w:lang w:val="en-US" w:eastAsia="zh-CN"/>
        </w:rPr>
      </w:pPr>
      <w:r>
        <w:rPr>
          <w:rFonts w:hint="default" w:ascii="Times New Roman Bold" w:hAnsi="Times New Roman Bold" w:cs="Times New Roman Bold"/>
          <w:b/>
          <w:bCs/>
          <w:lang w:val="en-US" w:eastAsia="zh-CN"/>
        </w:rPr>
        <w:t>Channel Coding and Repetition:</w:t>
      </w:r>
      <w:r>
        <w:rPr>
          <w:rFonts w:hint="default"/>
          <w:lang w:val="en-US" w:eastAsia="zh-CN"/>
        </w:rPr>
        <w:t xml:space="preserve"> FEC improves link budget but must minimize decoding energy. NB-IoT uses convolutional codes with Viterbi decoding for low complexity, relying on low rates and heavy repetition for coverage. High-throughput LDPC/Polar codes suit broadband but are inefficient for short IoT messages. For ultra-low-power 6G, short-block or non-iterative codes may be preferable. Repetition enhances reliability without increasing per-bit energy but adds latency and resource use. Adaptive repetition, adjusting repeat count and frequency hopping based on channel, can avoid excess energy use while maintaining robust coverage.</w:t>
      </w:r>
    </w:p>
    <w:p w14:paraId="374A0F94">
      <w:pPr>
        <w:numPr>
          <w:ilvl w:val="0"/>
          <w:numId w:val="17"/>
        </w:numPr>
        <w:ind w:left="420" w:leftChars="0" w:hanging="420" w:firstLineChars="0"/>
        <w:rPr>
          <w:rFonts w:hint="default"/>
          <w:lang w:val="en-US" w:eastAsia="zh-CN"/>
        </w:rPr>
      </w:pPr>
      <w:r>
        <w:rPr>
          <w:rFonts w:hint="default" w:ascii="Times New Roman Bold" w:hAnsi="Times New Roman Bold" w:cs="Times New Roman Bold"/>
          <w:b/>
          <w:bCs/>
          <w:lang w:val="en-US" w:eastAsia="zh-CN"/>
        </w:rPr>
        <w:t>Frame Structure and Sleep Modes:</w:t>
      </w:r>
      <w:r>
        <w:rPr>
          <w:rFonts w:hint="default"/>
          <w:lang w:val="en-US" w:eastAsia="zh-CN"/>
        </w:rPr>
        <w:t xml:space="preserve"> Efficient frame design maximizes device sleep time. 5G’s RRC Inactive with Wake-Up Signals reduces idle listening. For active sessions, persistent or grouped scheduling reduces frequent wake-ups. For example, for small IoT payloads, larger-granularity resource assignments lower overhead compared to frequent mini-slot scheduling, aligning active time with data needs and extending battery life.</w:t>
      </w:r>
    </w:p>
    <w:p w14:paraId="1BF2223E">
      <w:pPr>
        <w:numPr>
          <w:ilvl w:val="0"/>
          <w:numId w:val="17"/>
        </w:numPr>
        <w:ind w:left="420" w:leftChars="0" w:hanging="420" w:firstLineChars="0"/>
        <w:rPr>
          <w:rFonts w:hint="default"/>
          <w:lang w:val="en-US" w:eastAsia="zh-CN"/>
        </w:rPr>
      </w:pPr>
      <w:r>
        <w:rPr>
          <w:rFonts w:hint="default" w:ascii="Times New Roman Bold" w:hAnsi="Times New Roman Bold" w:cs="Times New Roman Bold"/>
          <w:b/>
          <w:bCs/>
          <w:lang w:val="en-US" w:eastAsia="zh-CN"/>
        </w:rPr>
        <w:t>Sequence Design and (LP-)WUS</w:t>
      </w:r>
      <w:r>
        <w:rPr>
          <w:rFonts w:hint="default"/>
          <w:lang w:val="en-US" w:eastAsia="zh-CN"/>
        </w:rPr>
        <w:t xml:space="preserve">: Special sequences enable low-power wake-up and synchronization. WUS/LP-WUS patterns in 5G allow targeted paging group activation; in 6G, unique sequences per device/group could further minimize false wakes. Sequences should be low cross-correlation, noise-robust, and detectable by simple energy detectors. </w:t>
      </w:r>
    </w:p>
    <w:p w14:paraId="6F1672CB">
      <w:pPr>
        <w:numPr>
          <w:ilvl w:val="0"/>
          <w:numId w:val="0"/>
        </w:numPr>
        <w:ind w:left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w:t>
      </w:r>
      <w:r>
        <w:rPr>
          <w:rFonts w:hint="eastAsia" w:ascii="Times New Roman Bold Italic" w:hAnsi="Times New Roman Bold Italic" w:cs="Times New Roman Bold Italic"/>
          <w:b/>
          <w:bCs/>
          <w:i/>
          <w:iCs/>
          <w:lang w:val="en-US" w:eastAsia="zh-CN"/>
        </w:rPr>
        <w:t>3</w:t>
      </w:r>
      <w:r>
        <w:rPr>
          <w:rFonts w:hint="default" w:ascii="Times New Roman Bold Italic" w:hAnsi="Times New Roman Bold Italic" w:cs="Times New Roman Bold Italic"/>
          <w:b/>
          <w:bCs/>
          <w:i/>
          <w:iCs/>
          <w:lang w:val="en-US" w:eastAsia="zh-CN"/>
        </w:rPr>
        <w:t>: Some physical air interface techniques such as SC-FDMA, constant-envelope modulation, low-complexity FEC, deep sleep frame design, and robust wake-up sequences is needed for reducing UE power consumption, improving PA efficiency, and enabling ultra-low-power operation across diverse 6G use cases.</w:t>
      </w:r>
    </w:p>
    <w:p w14:paraId="69A25841">
      <w:pPr>
        <w:numPr>
          <w:ilvl w:val="0"/>
          <w:numId w:val="0"/>
        </w:numPr>
        <w:ind w:left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Proposal 4: Discussion on </w:t>
      </w:r>
      <w:r>
        <w:rPr>
          <w:rFonts w:hint="eastAsia" w:ascii="Times New Roman Bold Italic" w:hAnsi="Times New Roman Bold Italic" w:cs="Times New Roman Bold Italic"/>
          <w:b/>
          <w:bCs/>
          <w:i/>
          <w:iCs/>
          <w:lang w:val="en-US" w:eastAsia="zh-CN"/>
        </w:rPr>
        <w:t>how</w:t>
      </w:r>
      <w:r>
        <w:rPr>
          <w:rFonts w:hint="default" w:ascii="Times New Roman Bold Italic" w:hAnsi="Times New Roman Bold Italic" w:cs="Times New Roman Bold Italic"/>
          <w:b/>
          <w:bCs/>
          <w:i/>
          <w:iCs/>
          <w:lang w:val="en-US" w:eastAsia="zh-CN"/>
        </w:rPr>
        <w:t xml:space="preserve"> </w:t>
      </w:r>
      <w:r>
        <w:rPr>
          <w:rFonts w:hint="eastAsia" w:ascii="Times New Roman Bold Italic" w:hAnsi="Times New Roman Bold Italic" w:cs="Times New Roman Bold Italic"/>
          <w:b/>
          <w:bCs/>
          <w:i/>
          <w:iCs/>
          <w:lang w:val="en-US" w:eastAsia="zh-CN"/>
        </w:rPr>
        <w:t>to</w:t>
      </w:r>
      <w:r>
        <w:rPr>
          <w:rFonts w:hint="default" w:ascii="Times New Roman Bold Italic" w:hAnsi="Times New Roman Bold Italic" w:cs="Times New Roman Bold Italic"/>
          <w:b/>
          <w:bCs/>
          <w:i/>
          <w:iCs/>
          <w:lang w:val="en-US" w:eastAsia="zh-CN"/>
        </w:rPr>
        <w:t xml:space="preserve"> include</w:t>
      </w:r>
      <w:r>
        <w:rPr>
          <w:rFonts w:hint="eastAsia" w:ascii="Times New Roman Bold Italic" w:hAnsi="Times New Roman Bold Italic" w:cs="Times New Roman Bold Italic"/>
          <w:b/>
          <w:bCs/>
          <w:i/>
          <w:iCs/>
          <w:lang w:val="en-US" w:eastAsia="zh-CN"/>
        </w:rPr>
        <w:t xml:space="preserve"> the</w:t>
      </w:r>
      <w:r>
        <w:rPr>
          <w:rFonts w:hint="default" w:ascii="Times New Roman Bold Italic" w:hAnsi="Times New Roman Bold Italic" w:cs="Times New Roman Bold Italic"/>
          <w:b/>
          <w:bCs/>
          <w:i/>
          <w:iCs/>
          <w:lang w:val="en-US" w:eastAsia="zh-CN"/>
        </w:rPr>
        <w:t xml:space="preserve"> impact of physical air interface design (e.g., waveform, coding, frame structure, sequence design, etc.) in 6G energy efficiency from day 1. </w:t>
      </w:r>
    </w:p>
    <w:p w14:paraId="2A1535A5">
      <w:pPr>
        <w:pStyle w:val="3"/>
        <w:rPr>
          <w:rFonts w:hint="default"/>
          <w:lang w:val="en-US" w:eastAsia="zh-CN"/>
        </w:rPr>
      </w:pPr>
      <w:r>
        <w:rPr>
          <w:rFonts w:hint="default"/>
          <w:lang w:val="en-US" w:eastAsia="zh-CN"/>
        </w:rPr>
        <w:t xml:space="preserve"> Potential 6G energy efficiency technologies </w:t>
      </w:r>
    </w:p>
    <w:p w14:paraId="137D02B5">
      <w:pPr>
        <w:pStyle w:val="4"/>
        <w:numPr>
          <w:ilvl w:val="2"/>
          <w:numId w:val="0"/>
        </w:numPr>
        <w:tabs>
          <w:tab w:val="left" w:pos="576"/>
          <w:tab w:val="clear" w:pos="432"/>
          <w:tab w:val="clear" w:pos="720"/>
        </w:tabs>
        <w:ind w:leftChars="100"/>
        <w:outlineLvl w:val="2"/>
        <w:rPr>
          <w:rFonts w:hint="default"/>
          <w:lang w:val="en-US" w:eastAsia="zh-CN"/>
        </w:rPr>
      </w:pPr>
      <w:r>
        <w:rPr>
          <w:rFonts w:hint="eastAsia"/>
          <w:lang w:val="en-US" w:eastAsia="zh-CN"/>
        </w:rPr>
        <w:t xml:space="preserve">4.3.1 </w:t>
      </w:r>
      <w:r>
        <w:rPr>
          <w:rFonts w:hint="default"/>
          <w:lang w:val="en-US" w:eastAsia="zh-CN"/>
        </w:rPr>
        <w:t>On-demand transmission</w:t>
      </w:r>
    </w:p>
    <w:p w14:paraId="54CAD749">
      <w:pPr>
        <w:ind w:leftChars="100"/>
        <w:jc w:val="center"/>
      </w:pPr>
      <w:r>
        <w:drawing>
          <wp:inline distT="0" distB="0" distL="114300" distR="114300">
            <wp:extent cx="1977390" cy="1157605"/>
            <wp:effectExtent l="0" t="0" r="0" b="0"/>
            <wp:docPr id="3" name="图片 2" descr="/Users/tcl/Library/Containers/com.kingsoft.wpsoffice.mac/Data/tmp/photoeditapp/20250814160309/temp.png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tcl/Library/Containers/com.kingsoft.wpsoffice.mac/Data/tmp/photoeditapp/20250814160309/temp.pngtemp"/>
                    <pic:cNvPicPr>
                      <a:picLocks noChangeAspect="1"/>
                    </pic:cNvPicPr>
                  </pic:nvPicPr>
                  <pic:blipFill>
                    <a:blip r:embed="rId13"/>
                    <a:srcRect b="12207"/>
                    <a:stretch>
                      <a:fillRect/>
                    </a:stretch>
                  </pic:blipFill>
                  <pic:spPr>
                    <a:xfrm>
                      <a:off x="0" y="0"/>
                      <a:ext cx="1977390" cy="1157605"/>
                    </a:xfrm>
                    <a:prstGeom prst="rect">
                      <a:avLst/>
                    </a:prstGeom>
                  </pic:spPr>
                </pic:pic>
              </a:graphicData>
            </a:graphic>
          </wp:inline>
        </w:drawing>
      </w:r>
    </w:p>
    <w:p w14:paraId="1886FDB4">
      <w:pPr>
        <w:rPr>
          <w:lang w:eastAsia="zh-CN"/>
        </w:rPr>
      </w:pPr>
      <w:r>
        <w:rPr>
          <w:lang w:eastAsia="zh-CN"/>
        </w:rPr>
        <w:t>6G wireless networks are being designed with energy efficiency as a core objective, building on the leaner design of 5G. A key strategy in 6G is the use of on-demand transmission, which means transmitting signals only when they are needed rather than continuously or periodically without purpose.</w:t>
      </w:r>
      <w:r>
        <w:rPr>
          <w:rFonts w:hint="eastAsia"/>
          <w:lang w:eastAsia="zh-CN"/>
        </w:rPr>
        <w:t xml:space="preserve"> </w:t>
      </w:r>
      <w:r>
        <w:rPr>
          <w:lang w:eastAsia="zh-CN"/>
        </w:rPr>
        <w:t>This approach tackles the energy wasted by “always-on” signals in current networks.</w:t>
      </w:r>
      <w:r>
        <w:rPr>
          <w:rFonts w:hint="eastAsia"/>
          <w:lang w:eastAsia="zh-CN"/>
        </w:rPr>
        <w:t xml:space="preserve"> </w:t>
      </w:r>
      <w:r>
        <w:rPr>
          <w:lang w:eastAsia="zh-CN"/>
        </w:rPr>
        <w:t>By turning off or reducing the frequency of various signals, both the gNB</w:t>
      </w:r>
      <w:r>
        <w:rPr>
          <w:rFonts w:hint="default"/>
          <w:lang w:val="en-US" w:eastAsia="zh-CN"/>
        </w:rPr>
        <w:t xml:space="preserve"> </w:t>
      </w:r>
      <w:r>
        <w:rPr>
          <w:lang w:eastAsia="zh-CN"/>
        </w:rPr>
        <w:t xml:space="preserve">and user equipment UE can </w:t>
      </w:r>
      <w:r>
        <w:rPr>
          <w:rFonts w:hint="eastAsia"/>
          <w:lang w:eastAsia="zh-CN"/>
        </w:rPr>
        <w:t>save the</w:t>
      </w:r>
      <w:r>
        <w:rPr>
          <w:lang w:eastAsia="zh-CN"/>
        </w:rPr>
        <w:t xml:space="preserve"> power</w:t>
      </w:r>
      <w:r>
        <w:rPr>
          <w:rFonts w:hint="eastAsia"/>
          <w:lang w:eastAsia="zh-CN"/>
        </w:rPr>
        <w:t xml:space="preserve"> </w:t>
      </w:r>
      <w:r>
        <w:rPr>
          <w:lang w:eastAsia="zh-CN"/>
        </w:rPr>
        <w:t>consumption.</w:t>
      </w:r>
      <w:r>
        <w:rPr>
          <w:rFonts w:hint="eastAsia"/>
          <w:lang w:eastAsia="zh-CN"/>
        </w:rPr>
        <w:t xml:space="preserve"> </w:t>
      </w:r>
      <w:r>
        <w:rPr>
          <w:lang w:eastAsia="zh-CN"/>
        </w:rPr>
        <w:t xml:space="preserve">In essence, the 6G </w:t>
      </w:r>
      <w:r>
        <w:rPr>
          <w:rFonts w:hint="eastAsia"/>
          <w:lang w:eastAsia="zh-CN"/>
        </w:rPr>
        <w:t>principle</w:t>
      </w:r>
      <w:r>
        <w:rPr>
          <w:lang w:eastAsia="zh-CN"/>
        </w:rPr>
        <w:t xml:space="preserve"> is “Less ON, More OFF” allowing network components to spend more time in sleep or low-power states.</w:t>
      </w:r>
    </w:p>
    <w:p w14:paraId="0CCA89D8">
      <w:pPr>
        <w:rPr>
          <w:lang w:eastAsia="zh-CN"/>
        </w:rPr>
      </w:pPr>
      <w:r>
        <w:rPr>
          <w:lang w:eastAsia="zh-CN"/>
        </w:rPr>
        <w:t xml:space="preserve">On-demand transmission is a </w:t>
      </w:r>
      <w:r>
        <w:rPr>
          <w:rFonts w:hint="eastAsia"/>
          <w:lang w:eastAsia="zh-CN"/>
        </w:rPr>
        <w:t>concept that</w:t>
      </w:r>
      <w:r>
        <w:rPr>
          <w:lang w:eastAsia="zh-CN"/>
        </w:rPr>
        <w:t xml:space="preserve"> the network transmits the signals only when necessary.</w:t>
      </w:r>
      <w:r>
        <w:rPr>
          <w:rFonts w:hint="eastAsia"/>
          <w:lang w:eastAsia="zh-CN"/>
        </w:rPr>
        <w:t xml:space="preserve"> </w:t>
      </w:r>
      <w:r>
        <w:rPr>
          <w:lang w:eastAsia="zh-CN"/>
        </w:rPr>
        <w:t>This can be triggered by specific events or requests.</w:t>
      </w:r>
      <w:r>
        <w:rPr>
          <w:rFonts w:hint="eastAsia"/>
          <w:lang w:eastAsia="zh-CN"/>
        </w:rPr>
        <w:t xml:space="preserve"> </w:t>
      </w:r>
      <w:r>
        <w:rPr>
          <w:lang w:eastAsia="zh-CN"/>
        </w:rPr>
        <w:t xml:space="preserve">The result is that during low-traffic or idle periods, the radio can remain mostly silent, conserving energy, and only “wake up” to transmit when a </w:t>
      </w:r>
      <w:r>
        <w:rPr>
          <w:rFonts w:hint="eastAsia"/>
          <w:lang w:eastAsia="zh-CN"/>
        </w:rPr>
        <w:t>UE</w:t>
      </w:r>
      <w:r>
        <w:rPr>
          <w:lang w:eastAsia="zh-CN"/>
        </w:rPr>
        <w:t xml:space="preserve"> needs something. This approach requires intelligent coordination between the network and UEs so that </w:t>
      </w:r>
      <w:r>
        <w:rPr>
          <w:rFonts w:hint="eastAsia"/>
          <w:lang w:eastAsia="zh-CN"/>
        </w:rPr>
        <w:t>UEs</w:t>
      </w:r>
      <w:r>
        <w:rPr>
          <w:lang w:eastAsia="zh-CN"/>
        </w:rPr>
        <w:t xml:space="preserve"> know when to listen or how to request a transmission, ensuring that on-demand operation doesn’t compromise connectivity or latency more than acceptable.</w:t>
      </w:r>
      <w:r>
        <w:rPr>
          <w:rFonts w:hint="eastAsia"/>
          <w:lang w:eastAsia="zh-CN"/>
        </w:rPr>
        <w:t xml:space="preserve"> O</w:t>
      </w:r>
      <w:r>
        <w:rPr>
          <w:lang w:eastAsia="zh-CN"/>
        </w:rPr>
        <w:t xml:space="preserve">n-demand signaling allows much longer sleep periods for both base stations and </w:t>
      </w:r>
      <w:r>
        <w:rPr>
          <w:rFonts w:hint="eastAsia"/>
          <w:lang w:eastAsia="zh-CN"/>
        </w:rPr>
        <w:t>UE</w:t>
      </w:r>
      <w:r>
        <w:rPr>
          <w:lang w:eastAsia="zh-CN"/>
        </w:rPr>
        <w:t>s.</w:t>
      </w:r>
    </w:p>
    <w:p w14:paraId="3E70335B">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14</w:t>
      </w:r>
      <w:r>
        <w:rPr>
          <w:rFonts w:hint="default" w:ascii="Times New Roman Bold Italic" w:hAnsi="Times New Roman Bold Italic" w:cs="Times New Roman Bold Italic"/>
          <w:b/>
          <w:bCs/>
          <w:i/>
          <w:iCs/>
          <w:lang w:eastAsia="zh-CN"/>
        </w:rPr>
        <w:t>: When designing the signals for 6G, the principle of “Less ON, More OFF” should be followed.</w:t>
      </w:r>
    </w:p>
    <w:p w14:paraId="6E724592">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15</w:t>
      </w:r>
      <w:r>
        <w:rPr>
          <w:rFonts w:hint="default" w:ascii="Times New Roman Bold Italic" w:hAnsi="Times New Roman Bold Italic" w:cs="Times New Roman Bold Italic"/>
          <w:b/>
          <w:bCs/>
          <w:i/>
          <w:iCs/>
          <w:lang w:eastAsia="zh-CN"/>
        </w:rPr>
        <w:t>: On-demand transmission requires intelligent coordination between the network and UEs so that UEs know when to listen or how to request a transmission, ensuring that on-demand operation doesn’t compromise connectivity or latency more than acceptable.</w:t>
      </w:r>
    </w:p>
    <w:p w14:paraId="2EE7A56F">
      <w:pPr>
        <w:rPr>
          <w:lang w:eastAsia="zh-CN"/>
        </w:rPr>
      </w:pPr>
      <w:r>
        <w:rPr>
          <w:lang w:eastAsia="zh-CN"/>
        </w:rPr>
        <w:t>In current 4G/5G networks, signals like synchronization bursts and system information are sent at fixed intervals to ensure any new device can discover and connect to the cell at any time.</w:t>
      </w:r>
      <w:r>
        <w:rPr>
          <w:rFonts w:hint="eastAsia"/>
          <w:lang w:eastAsia="zh-CN"/>
        </w:rPr>
        <w:t xml:space="preserve"> Even though on demand </w:t>
      </w:r>
      <w:r>
        <w:rPr>
          <w:lang w:eastAsia="zh-CN"/>
        </w:rPr>
        <w:t xml:space="preserve">synchronization bursts and </w:t>
      </w:r>
      <w:r>
        <w:rPr>
          <w:rFonts w:hint="eastAsia"/>
          <w:lang w:eastAsia="zh-CN"/>
        </w:rPr>
        <w:t xml:space="preserve">on demand </w:t>
      </w:r>
      <w:r>
        <w:rPr>
          <w:lang w:eastAsia="zh-CN"/>
        </w:rPr>
        <w:t>system information</w:t>
      </w:r>
      <w:r>
        <w:rPr>
          <w:rFonts w:hint="eastAsia"/>
          <w:lang w:eastAsia="zh-CN"/>
        </w:rPr>
        <w:t xml:space="preserve"> were supported in 5G, the applicable </w:t>
      </w:r>
      <w:r>
        <w:rPr>
          <w:lang w:eastAsia="zh-CN"/>
        </w:rPr>
        <w:t>scenario</w:t>
      </w:r>
      <w:r>
        <w:rPr>
          <w:rFonts w:hint="eastAsia"/>
          <w:lang w:eastAsia="zh-CN"/>
        </w:rPr>
        <w:t xml:space="preserve"> and the </w:t>
      </w:r>
      <w:r>
        <w:rPr>
          <w:lang w:eastAsia="zh-CN"/>
        </w:rPr>
        <w:t>benefit</w:t>
      </w:r>
      <w:r>
        <w:rPr>
          <w:rFonts w:hint="eastAsia"/>
          <w:lang w:eastAsia="zh-CN"/>
        </w:rPr>
        <w:t xml:space="preserve"> is limited due to the restriction of the legacy framework of 5G. </w:t>
      </w:r>
      <w:r>
        <w:rPr>
          <w:lang w:eastAsia="zh-CN"/>
        </w:rPr>
        <w:t xml:space="preserve">6G aims to break </w:t>
      </w:r>
      <w:r>
        <w:rPr>
          <w:rFonts w:hint="eastAsia"/>
          <w:lang w:eastAsia="zh-CN"/>
        </w:rPr>
        <w:t xml:space="preserve">the </w:t>
      </w:r>
      <w:r>
        <w:rPr>
          <w:lang w:eastAsia="zh-CN"/>
        </w:rPr>
        <w:t>restriction</w:t>
      </w:r>
      <w:r>
        <w:rPr>
          <w:rFonts w:hint="eastAsia"/>
          <w:lang w:eastAsia="zh-CN"/>
        </w:rPr>
        <w:t xml:space="preserve"> </w:t>
      </w:r>
      <w:r>
        <w:rPr>
          <w:lang w:eastAsia="zh-CN"/>
        </w:rPr>
        <w:t xml:space="preserve">by making </w:t>
      </w:r>
      <w:r>
        <w:rPr>
          <w:rFonts w:hint="eastAsia"/>
          <w:lang w:eastAsia="zh-CN"/>
        </w:rPr>
        <w:t xml:space="preserve">common </w:t>
      </w:r>
      <w:r>
        <w:rPr>
          <w:lang w:eastAsia="zh-CN"/>
        </w:rPr>
        <w:t xml:space="preserve">signal transmissions adaptive </w:t>
      </w:r>
      <w:r>
        <w:rPr>
          <w:rFonts w:hint="eastAsia"/>
          <w:lang w:eastAsia="zh-CN"/>
        </w:rPr>
        <w:t>or</w:t>
      </w:r>
      <w:r>
        <w:rPr>
          <w:lang w:eastAsia="zh-CN"/>
        </w:rPr>
        <w:t xml:space="preserve"> event-driven</w:t>
      </w:r>
      <w:r>
        <w:rPr>
          <w:rFonts w:hint="eastAsia"/>
          <w:lang w:eastAsia="zh-CN"/>
        </w:rPr>
        <w:t>.</w:t>
      </w:r>
    </w:p>
    <w:p w14:paraId="0341F2EC">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Observation</w:t>
      </w:r>
      <w:r>
        <w:rPr>
          <w:rFonts w:hint="default" w:ascii="Times New Roman Bold Italic" w:hAnsi="Times New Roman Bold Italic" w:cs="Times New Roman Bold Italic"/>
          <w:b/>
          <w:bCs/>
          <w:i/>
          <w:iCs/>
          <w:lang w:val="en-US" w:eastAsia="zh-CN"/>
        </w:rPr>
        <w:t xml:space="preserve"> 16</w:t>
      </w:r>
      <w:r>
        <w:rPr>
          <w:rFonts w:hint="default" w:ascii="Times New Roman Bold Italic" w:hAnsi="Times New Roman Bold Italic" w:cs="Times New Roman Bold Italic"/>
          <w:b/>
          <w:bCs/>
          <w:i/>
          <w:iCs/>
          <w:lang w:eastAsia="zh-CN"/>
        </w:rPr>
        <w:t xml:space="preserve">: By making the common signals (synchronization signal/system information/paging/RACH) adaptive, 6G would significantly cut down the time a cell transmitter is active </w:t>
      </w:r>
      <w:r>
        <w:rPr>
          <w:rFonts w:hint="eastAsia" w:ascii="Times New Roman Bold Italic" w:hAnsi="Times New Roman Bold Italic" w:cs="Times New Roman Bold Italic"/>
          <w:b/>
          <w:bCs/>
          <w:i/>
          <w:iCs/>
          <w:lang w:val="en-US" w:eastAsia="zh-CN"/>
        </w:rPr>
        <w:t>when</w:t>
      </w:r>
      <w:r>
        <w:rPr>
          <w:rFonts w:hint="default" w:ascii="Times New Roman Bold Italic" w:hAnsi="Times New Roman Bold Italic" w:cs="Times New Roman Bold Italic"/>
          <w:b/>
          <w:bCs/>
          <w:i/>
          <w:iCs/>
          <w:lang w:eastAsia="zh-CN"/>
        </w:rPr>
        <w:t xml:space="preserve"> no real user data to send.</w:t>
      </w:r>
    </w:p>
    <w:p w14:paraId="79432C36">
      <w:pPr>
        <w:rPr>
          <w:lang w:eastAsia="zh-CN"/>
        </w:rPr>
      </w:pPr>
      <w:r>
        <w:rPr>
          <w:lang w:eastAsia="zh-CN"/>
        </w:rPr>
        <w:t>6G also targets UE-specific signals for energy optimization</w:t>
      </w:r>
      <w:r>
        <w:rPr>
          <w:rFonts w:hint="eastAsia"/>
          <w:lang w:eastAsia="zh-CN"/>
        </w:rPr>
        <w:t xml:space="preserve"> including </w:t>
      </w:r>
      <w:r>
        <w:rPr>
          <w:lang w:eastAsia="zh-CN"/>
        </w:rPr>
        <w:t>control channels and reference signals</w:t>
      </w:r>
      <w:r>
        <w:rPr>
          <w:rFonts w:hint="eastAsia"/>
          <w:lang w:eastAsia="zh-CN"/>
        </w:rPr>
        <w:t xml:space="preserve">. </w:t>
      </w:r>
      <w:r>
        <w:rPr>
          <w:lang w:eastAsia="zh-CN"/>
        </w:rPr>
        <w:t>5G already improved over 4G by eliminating many always-on transmissions</w:t>
      </w:r>
      <w:r>
        <w:rPr>
          <w:rFonts w:hint="eastAsia"/>
          <w:lang w:eastAsia="zh-CN"/>
        </w:rPr>
        <w:t xml:space="preserve"> (e.g., CRS). </w:t>
      </w:r>
      <w:r>
        <w:rPr>
          <w:lang w:eastAsia="zh-CN"/>
        </w:rPr>
        <w:t>6G will push this further by ensuring even the remaining periodic or frequent signals are sent only as needed</w:t>
      </w:r>
      <w:r>
        <w:rPr>
          <w:rFonts w:hint="eastAsia"/>
          <w:lang w:eastAsia="zh-CN"/>
        </w:rPr>
        <w:t xml:space="preserve">. </w:t>
      </w:r>
      <w:r>
        <w:rPr>
          <w:lang w:eastAsia="zh-CN"/>
        </w:rPr>
        <w:t xml:space="preserve">The PDCCH carries scheduling commands and other control information, and a UE in connected mode must monitor it regularly to know if the </w:t>
      </w:r>
      <w:r>
        <w:rPr>
          <w:rFonts w:hint="eastAsia"/>
          <w:lang w:eastAsia="zh-CN"/>
        </w:rPr>
        <w:t xml:space="preserve">network </w:t>
      </w:r>
      <w:r>
        <w:rPr>
          <w:lang w:eastAsia="zh-CN"/>
        </w:rPr>
        <w:t xml:space="preserve">has data or </w:t>
      </w:r>
      <w:r>
        <w:rPr>
          <w:rFonts w:hint="eastAsia"/>
          <w:lang w:eastAsia="zh-CN"/>
        </w:rPr>
        <w:t xml:space="preserve">control information </w:t>
      </w:r>
      <w:r>
        <w:rPr>
          <w:lang w:eastAsia="zh-CN"/>
        </w:rPr>
        <w:t>for it.</w:t>
      </w:r>
      <w:r>
        <w:rPr>
          <w:rFonts w:hint="eastAsia"/>
          <w:lang w:eastAsia="zh-CN"/>
        </w:rPr>
        <w:t xml:space="preserve"> </w:t>
      </w:r>
      <w:r>
        <w:rPr>
          <w:lang w:eastAsia="zh-CN"/>
        </w:rPr>
        <w:t>5G Advanced introduced the idea of dynamic PDCCH monitoring</w:t>
      </w:r>
      <w:r>
        <w:rPr>
          <w:rFonts w:hint="eastAsia"/>
          <w:lang w:eastAsia="zh-CN"/>
        </w:rPr>
        <w:t xml:space="preserve">, </w:t>
      </w:r>
      <w:r>
        <w:rPr>
          <w:lang w:eastAsia="zh-CN"/>
        </w:rPr>
        <w:t>6G will natively embrace such techniques</w:t>
      </w:r>
      <w:r>
        <w:rPr>
          <w:rFonts w:hint="eastAsia"/>
          <w:lang w:eastAsia="zh-CN"/>
        </w:rPr>
        <w:t xml:space="preserve">. </w:t>
      </w:r>
      <w:r>
        <w:rPr>
          <w:lang w:eastAsia="zh-CN"/>
        </w:rPr>
        <w:t xml:space="preserve">Reference signals </w:t>
      </w:r>
      <w:r>
        <w:rPr>
          <w:rFonts w:hint="eastAsia"/>
          <w:lang w:eastAsia="zh-CN"/>
        </w:rPr>
        <w:t xml:space="preserve">(e.g., CSI-RS, SRS) </w:t>
      </w:r>
      <w:r>
        <w:rPr>
          <w:lang w:eastAsia="zh-CN"/>
        </w:rPr>
        <w:t>are used for channel estimation, measurement, or synchronization. In 5G/NR, many reference signals are already sent periodical</w:t>
      </w:r>
      <w:r>
        <w:rPr>
          <w:rFonts w:hint="eastAsia"/>
          <w:lang w:eastAsia="zh-CN"/>
        </w:rPr>
        <w:t>ly</w:t>
      </w:r>
      <w:r>
        <w:rPr>
          <w:lang w:eastAsia="zh-CN"/>
        </w:rPr>
        <w:t xml:space="preserve"> or aperiodical</w:t>
      </w:r>
      <w:r>
        <w:rPr>
          <w:rFonts w:hint="eastAsia"/>
          <w:lang w:eastAsia="zh-CN"/>
        </w:rPr>
        <w:t xml:space="preserve">ly. </w:t>
      </w:r>
      <w:r>
        <w:rPr>
          <w:lang w:eastAsia="zh-CN"/>
        </w:rPr>
        <w:t>6G will take this further by minimizing periodic reference signals.</w:t>
      </w:r>
      <w:r>
        <w:rPr>
          <w:rFonts w:hint="eastAsia"/>
          <w:lang w:eastAsia="zh-CN"/>
        </w:rPr>
        <w:t xml:space="preserve"> </w:t>
      </w:r>
    </w:p>
    <w:p w14:paraId="04765BA2">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17</w:t>
      </w:r>
      <w:r>
        <w:rPr>
          <w:rFonts w:hint="default" w:ascii="Times New Roman Bold Italic" w:hAnsi="Times New Roman Bold Italic" w:cs="Times New Roman Bold Italic"/>
          <w:b/>
          <w:bCs/>
          <w:i/>
          <w:iCs/>
          <w:lang w:eastAsia="zh-CN"/>
        </w:rPr>
        <w:t>: 6G will natively embrace and further study techniques to avoid always on control channels and reference signals.</w:t>
      </w:r>
    </w:p>
    <w:p w14:paraId="33E73F06">
      <w:pPr>
        <w:rPr>
          <w:lang w:eastAsia="zh-CN"/>
        </w:rPr>
      </w:pPr>
      <w:r>
        <w:rPr>
          <w:lang w:eastAsia="zh-CN"/>
        </w:rPr>
        <w:t xml:space="preserve">From the </w:t>
      </w:r>
      <w:r>
        <w:rPr>
          <w:rFonts w:hint="eastAsia"/>
          <w:lang w:eastAsia="zh-CN"/>
        </w:rPr>
        <w:t>network</w:t>
      </w:r>
      <w:r>
        <w:rPr>
          <w:lang w:eastAsia="zh-CN"/>
        </w:rPr>
        <w:t xml:space="preserve"> perspective, on-demand transmission directly translates to more aggressive sleep mode and lower radio resource usage</w:t>
      </w:r>
      <w:r>
        <w:rPr>
          <w:rFonts w:hint="eastAsia"/>
          <w:lang w:eastAsia="zh-CN"/>
        </w:rPr>
        <w:t xml:space="preserve">. </w:t>
      </w:r>
      <w:r>
        <w:rPr>
          <w:lang w:eastAsia="zh-CN"/>
        </w:rPr>
        <w:t xml:space="preserve">Several innovations in 6G will enhance </w:t>
      </w:r>
      <w:r>
        <w:rPr>
          <w:rFonts w:hint="eastAsia"/>
          <w:lang w:eastAsia="zh-CN"/>
        </w:rPr>
        <w:t>network</w:t>
      </w:r>
      <w:r>
        <w:rPr>
          <w:lang w:eastAsia="zh-CN"/>
        </w:rPr>
        <w:t xml:space="preserve"> energy efficiency</w:t>
      </w:r>
      <w:r>
        <w:rPr>
          <w:rFonts w:hint="eastAsia"/>
          <w:lang w:eastAsia="zh-CN"/>
        </w:rPr>
        <w:t>.</w:t>
      </w:r>
    </w:p>
    <w:p w14:paraId="06DB8828">
      <w:pPr>
        <w:numPr>
          <w:ilvl w:val="0"/>
          <w:numId w:val="18"/>
        </w:numPr>
        <w:rPr>
          <w:rFonts w:ascii="Times New Roman Bold" w:hAnsi="Times New Roman Bold" w:cs="Times New Roman Bold"/>
          <w:b/>
          <w:bCs/>
          <w:lang w:eastAsia="zh-CN"/>
        </w:rPr>
      </w:pPr>
      <w:r>
        <w:rPr>
          <w:rFonts w:ascii="Times New Roman Bold" w:hAnsi="Times New Roman Bold" w:cs="Times New Roman Bold"/>
          <w:b/>
          <w:bCs/>
          <w:lang w:eastAsia="zh-CN"/>
        </w:rPr>
        <w:t>Discontinuous Transmission</w:t>
      </w:r>
    </w:p>
    <w:p w14:paraId="6BFCE710">
      <w:pPr>
        <w:rPr>
          <w:lang w:eastAsia="zh-CN"/>
        </w:rPr>
      </w:pPr>
      <w:r>
        <w:rPr>
          <w:lang w:eastAsia="zh-CN"/>
        </w:rPr>
        <w:t>A 6G base station will utilize discontinuous transmission techniques extensively.</w:t>
      </w:r>
      <w:r>
        <w:rPr>
          <w:rFonts w:hint="eastAsia"/>
          <w:lang w:eastAsia="zh-CN"/>
        </w:rPr>
        <w:t xml:space="preserve"> </w:t>
      </w:r>
      <w:r>
        <w:rPr>
          <w:lang w:eastAsia="zh-CN"/>
        </w:rPr>
        <w:t>This means in the absence of active data or required signaling, the gNB can shut off its transmit chain or reduce its activity.</w:t>
      </w:r>
      <w:r>
        <w:rPr>
          <w:rFonts w:hint="eastAsia"/>
          <w:lang w:eastAsia="zh-CN"/>
        </w:rPr>
        <w:t xml:space="preserve"> </w:t>
      </w:r>
      <w:r>
        <w:rPr>
          <w:lang w:eastAsia="zh-CN"/>
        </w:rPr>
        <w:t xml:space="preserve">For example, if no UEs need downlink data at a moment and all required control signaling has been handled, the cell can enter a micro-sleep </w:t>
      </w:r>
      <w:r>
        <w:rPr>
          <w:rFonts w:hint="eastAsia"/>
          <w:lang w:eastAsia="zh-CN"/>
        </w:rPr>
        <w:t>and stop</w:t>
      </w:r>
      <w:r>
        <w:rPr>
          <w:lang w:eastAsia="zh-CN"/>
        </w:rPr>
        <w:t xml:space="preserve"> all transmissions.</w:t>
      </w:r>
      <w:r>
        <w:rPr>
          <w:rFonts w:hint="eastAsia"/>
          <w:lang w:eastAsia="zh-CN"/>
        </w:rPr>
        <w:t xml:space="preserve"> </w:t>
      </w:r>
      <w:r>
        <w:rPr>
          <w:lang w:eastAsia="zh-CN"/>
        </w:rPr>
        <w:t>S</w:t>
      </w:r>
      <w:r>
        <w:rPr>
          <w:rFonts w:hint="eastAsia"/>
          <w:lang w:eastAsia="zh-CN"/>
        </w:rPr>
        <w:t xml:space="preserve">uch </w:t>
      </w:r>
      <w:r>
        <w:rPr>
          <w:lang w:eastAsia="zh-CN"/>
        </w:rPr>
        <w:t>discontinuous transmission techniques</w:t>
      </w:r>
      <w:r>
        <w:rPr>
          <w:rFonts w:hint="eastAsia"/>
          <w:lang w:eastAsia="zh-CN"/>
        </w:rPr>
        <w:t xml:space="preserve"> will </w:t>
      </w:r>
      <w:r>
        <w:rPr>
          <w:lang w:eastAsia="zh-CN"/>
        </w:rPr>
        <w:t>oordinate</w:t>
      </w:r>
      <w:r>
        <w:rPr>
          <w:rFonts w:hint="eastAsia"/>
          <w:lang w:eastAsia="zh-CN"/>
        </w:rPr>
        <w:t xml:space="preserve"> </w:t>
      </w:r>
      <w:r>
        <w:rPr>
          <w:lang w:eastAsia="zh-CN"/>
        </w:rPr>
        <w:t>with</w:t>
      </w:r>
      <w:r>
        <w:rPr>
          <w:rFonts w:hint="eastAsia"/>
          <w:lang w:eastAsia="zh-CN"/>
        </w:rPr>
        <w:t xml:space="preserve"> both on demand </w:t>
      </w:r>
      <w:r>
        <w:rPr>
          <w:lang w:eastAsia="zh-CN"/>
        </w:rPr>
        <w:t>UE-specific signals</w:t>
      </w:r>
      <w:r>
        <w:rPr>
          <w:rFonts w:hint="eastAsia"/>
          <w:lang w:eastAsia="zh-CN"/>
        </w:rPr>
        <w:t xml:space="preserve"> and on demand common signals.</w:t>
      </w:r>
    </w:p>
    <w:p w14:paraId="75817843">
      <w:pPr>
        <w:numPr>
          <w:ilvl w:val="0"/>
          <w:numId w:val="18"/>
        </w:numPr>
        <w:rPr>
          <w:rFonts w:ascii="Times New Roman Bold" w:hAnsi="Times New Roman Bold" w:cs="Times New Roman Bold"/>
          <w:b/>
          <w:bCs/>
          <w:lang w:eastAsia="zh-CN"/>
        </w:rPr>
      </w:pPr>
      <w:r>
        <w:rPr>
          <w:rFonts w:ascii="Times New Roman Bold" w:hAnsi="Times New Roman Bold" w:cs="Times New Roman Bold"/>
          <w:b/>
          <w:bCs/>
          <w:lang w:eastAsia="zh-CN"/>
        </w:rPr>
        <w:t xml:space="preserve">Adaptation of </w:t>
      </w:r>
      <w:r>
        <w:rPr>
          <w:rFonts w:hint="eastAsia" w:ascii="Times New Roman Bold" w:hAnsi="Times New Roman Bold" w:cs="Times New Roman Bold"/>
          <w:b/>
          <w:bCs/>
          <w:lang w:eastAsia="zh-CN"/>
        </w:rPr>
        <w:t>c</w:t>
      </w:r>
      <w:r>
        <w:rPr>
          <w:rFonts w:ascii="Times New Roman Bold" w:hAnsi="Times New Roman Bold" w:cs="Times New Roman Bold"/>
          <w:b/>
          <w:bCs/>
          <w:lang w:eastAsia="zh-CN"/>
        </w:rPr>
        <w:t>ommon</w:t>
      </w:r>
      <w:r>
        <w:rPr>
          <w:rFonts w:hint="eastAsia" w:ascii="Times New Roman Bold" w:hAnsi="Times New Roman Bold" w:cs="Times New Roman Bold"/>
          <w:b/>
          <w:bCs/>
          <w:lang w:eastAsia="zh-CN"/>
        </w:rPr>
        <w:t xml:space="preserve"> signals</w:t>
      </w:r>
    </w:p>
    <w:p w14:paraId="10BAE5A7">
      <w:pPr>
        <w:rPr>
          <w:lang w:eastAsia="zh-CN"/>
        </w:rPr>
      </w:pPr>
      <w:r>
        <w:rPr>
          <w:lang w:eastAsia="zh-CN"/>
        </w:rPr>
        <w:t xml:space="preserve">The </w:t>
      </w:r>
      <w:r>
        <w:rPr>
          <w:rFonts w:hint="eastAsia"/>
          <w:lang w:eastAsia="zh-CN"/>
        </w:rPr>
        <w:t xml:space="preserve">6G </w:t>
      </w:r>
      <w:r>
        <w:rPr>
          <w:lang w:eastAsia="zh-CN"/>
        </w:rPr>
        <w:t>base station can also save energy by adapting the configuration of common channels (like PRACH and paging) based on real-time load.</w:t>
      </w:r>
      <w:r>
        <w:rPr>
          <w:rFonts w:hint="eastAsia"/>
          <w:lang w:eastAsia="zh-CN"/>
        </w:rPr>
        <w:t xml:space="preserve"> </w:t>
      </w:r>
      <w:r>
        <w:rPr>
          <w:lang w:eastAsia="zh-CN"/>
        </w:rPr>
        <w:t>This adaptability ensures no energy is wasted on maintaining excessive capacity for control channels when it’s not needed.</w:t>
      </w:r>
      <w:r>
        <w:rPr>
          <w:rFonts w:hint="eastAsia"/>
          <w:lang w:eastAsia="zh-CN"/>
        </w:rPr>
        <w:t xml:space="preserve"> </w:t>
      </w:r>
      <w:r>
        <w:rPr>
          <w:lang w:eastAsia="zh-CN"/>
        </w:rPr>
        <w:t>It’s a form of self-optimization that 6G base stations will likely perform automatically, possibly aided by AI algorithms predicting traffic patterns.</w:t>
      </w:r>
    </w:p>
    <w:p w14:paraId="0C28C57C">
      <w:pPr>
        <w:rPr>
          <w:lang w:eastAsia="zh-CN"/>
        </w:rPr>
      </w:pPr>
      <w:r>
        <w:rPr>
          <w:lang w:eastAsia="zh-CN"/>
        </w:rPr>
        <w:t>On the UE side, on-demand transmission techniques are equally transformative for extending battery life.</w:t>
      </w:r>
      <w:r>
        <w:rPr>
          <w:rFonts w:hint="eastAsia"/>
          <w:lang w:eastAsia="zh-CN"/>
        </w:rPr>
        <w:t xml:space="preserve"> </w:t>
      </w:r>
      <w:r>
        <w:rPr>
          <w:lang w:eastAsia="zh-CN"/>
        </w:rPr>
        <w:t xml:space="preserve">Mobile devices are typically energy-constrained, so reducing the time the </w:t>
      </w:r>
      <w:r>
        <w:rPr>
          <w:rFonts w:hint="eastAsia"/>
          <w:lang w:eastAsia="zh-CN"/>
        </w:rPr>
        <w:t>device</w:t>
      </w:r>
      <w:r>
        <w:rPr>
          <w:lang w:eastAsia="zh-CN"/>
        </w:rPr>
        <w:t xml:space="preserve"> is active directly prolongs battery endurance.</w:t>
      </w:r>
    </w:p>
    <w:p w14:paraId="0E6CDE8A">
      <w:pPr>
        <w:numPr>
          <w:ilvl w:val="0"/>
          <w:numId w:val="18"/>
        </w:numPr>
        <w:rPr>
          <w:rFonts w:ascii="Times New Roman Bold" w:hAnsi="Times New Roman Bold" w:cs="Times New Roman Bold"/>
          <w:b/>
          <w:bCs/>
          <w:lang w:eastAsia="zh-CN"/>
        </w:rPr>
      </w:pPr>
      <w:r>
        <w:rPr>
          <w:rFonts w:ascii="Times New Roman Bold" w:hAnsi="Times New Roman Bold" w:cs="Times New Roman Bold"/>
          <w:b/>
          <w:bCs/>
          <w:lang w:eastAsia="zh-CN"/>
        </w:rPr>
        <w:t>Extended DRX and Sleep</w:t>
      </w:r>
    </w:p>
    <w:p w14:paraId="55813ECD">
      <w:pPr>
        <w:rPr>
          <w:lang w:eastAsia="zh-CN"/>
        </w:rPr>
      </w:pPr>
      <w:r>
        <w:rPr>
          <w:lang w:eastAsia="zh-CN"/>
        </w:rPr>
        <w:t>6G will allow UEs to use longer and more flexible DRX cycles thanks to reliable on-demand signaling.</w:t>
      </w:r>
      <w:r>
        <w:rPr>
          <w:rFonts w:hint="eastAsia"/>
          <w:lang w:eastAsia="zh-CN"/>
        </w:rPr>
        <w:t xml:space="preserve"> </w:t>
      </w:r>
      <w:r>
        <w:rPr>
          <w:lang w:eastAsia="zh-CN"/>
        </w:rPr>
        <w:t xml:space="preserve">If the network and device </w:t>
      </w:r>
      <w:r>
        <w:rPr>
          <w:rFonts w:hint="eastAsia"/>
          <w:lang w:eastAsia="zh-CN"/>
        </w:rPr>
        <w:t xml:space="preserve">are consulted </w:t>
      </w:r>
      <w:r>
        <w:rPr>
          <w:lang w:eastAsia="zh-CN"/>
        </w:rPr>
        <w:t xml:space="preserve">that data will only arrive in specific intervals or on explicit request, the UE can remain in a </w:t>
      </w:r>
      <w:r>
        <w:rPr>
          <w:rFonts w:hint="eastAsia"/>
          <w:lang w:eastAsia="zh-CN"/>
        </w:rPr>
        <w:t>sleep</w:t>
      </w:r>
      <w:r>
        <w:rPr>
          <w:lang w:eastAsia="zh-CN"/>
        </w:rPr>
        <w:t xml:space="preserve"> state for much longer </w:t>
      </w:r>
      <w:r>
        <w:rPr>
          <w:rFonts w:hint="eastAsia"/>
          <w:lang w:eastAsia="zh-CN"/>
        </w:rPr>
        <w:t>time</w:t>
      </w:r>
      <w:r>
        <w:rPr>
          <w:lang w:eastAsia="zh-CN"/>
        </w:rPr>
        <w:t xml:space="preserve"> without missing anything</w:t>
      </w:r>
      <w:r>
        <w:rPr>
          <w:rFonts w:hint="eastAsia"/>
          <w:lang w:eastAsia="zh-CN"/>
        </w:rPr>
        <w:t xml:space="preserve">. </w:t>
      </w:r>
      <w:r>
        <w:rPr>
          <w:lang w:eastAsia="zh-CN"/>
        </w:rPr>
        <w:t xml:space="preserve">For idle or inactive mode </w:t>
      </w:r>
      <w:r>
        <w:rPr>
          <w:rFonts w:hint="eastAsia"/>
          <w:lang w:eastAsia="zh-CN"/>
        </w:rPr>
        <w:t>UEs</w:t>
      </w:r>
      <w:r>
        <w:rPr>
          <w:lang w:eastAsia="zh-CN"/>
        </w:rPr>
        <w:t xml:space="preserve">, 6G could introduce even deeper sleep states to turning the </w:t>
      </w:r>
      <w:r>
        <w:rPr>
          <w:rFonts w:hint="eastAsia"/>
          <w:lang w:eastAsia="zh-CN"/>
        </w:rPr>
        <w:t>modules</w:t>
      </w:r>
      <w:r>
        <w:rPr>
          <w:lang w:eastAsia="zh-CN"/>
        </w:rPr>
        <w:t xml:space="preserve"> almost completely off until a certain event (like a wake-up signal)</w:t>
      </w:r>
    </w:p>
    <w:p w14:paraId="33731D22">
      <w:pPr>
        <w:numPr>
          <w:ilvl w:val="0"/>
          <w:numId w:val="18"/>
        </w:numPr>
        <w:rPr>
          <w:rFonts w:ascii="Times New Roman Bold" w:hAnsi="Times New Roman Bold" w:cs="Times New Roman Bold"/>
          <w:b/>
          <w:bCs/>
          <w:lang w:eastAsia="zh-CN"/>
        </w:rPr>
      </w:pPr>
      <w:r>
        <w:rPr>
          <w:rFonts w:hint="eastAsia" w:ascii="Times New Roman Bold" w:hAnsi="Times New Roman Bold" w:cs="Times New Roman Bold"/>
          <w:b/>
          <w:bCs/>
          <w:lang w:eastAsia="zh-CN"/>
        </w:rPr>
        <w:t>U</w:t>
      </w:r>
      <w:r>
        <w:rPr>
          <w:rFonts w:ascii="Times New Roman Bold" w:hAnsi="Times New Roman Bold" w:cs="Times New Roman Bold"/>
          <w:b/>
          <w:bCs/>
          <w:lang w:eastAsia="zh-CN"/>
        </w:rPr>
        <w:t>ltra-low-power</w:t>
      </w:r>
      <w:r>
        <w:rPr>
          <w:rFonts w:hint="eastAsia" w:ascii="Times New Roman Bold" w:hAnsi="Times New Roman Bold" w:cs="Times New Roman Bold"/>
          <w:b/>
          <w:bCs/>
          <w:lang w:eastAsia="zh-CN"/>
        </w:rPr>
        <w:t xml:space="preserve"> </w:t>
      </w:r>
      <w:r>
        <w:rPr>
          <w:rFonts w:ascii="Times New Roman Bold" w:hAnsi="Times New Roman Bold" w:cs="Times New Roman Bold"/>
          <w:b/>
          <w:bCs/>
          <w:lang w:eastAsia="zh-CN"/>
        </w:rPr>
        <w:t>Wake-Up Receiver and Signal</w:t>
      </w:r>
    </w:p>
    <w:p w14:paraId="5F83157B">
      <w:pPr>
        <w:rPr>
          <w:lang w:eastAsia="zh-CN"/>
        </w:rPr>
      </w:pPr>
      <w:r>
        <w:rPr>
          <w:lang w:eastAsia="zh-CN"/>
        </w:rPr>
        <w:t xml:space="preserve">5G Advanced introduced the </w:t>
      </w:r>
      <w:r>
        <w:rPr>
          <w:rFonts w:hint="eastAsia"/>
          <w:lang w:eastAsia="zh-CN"/>
        </w:rPr>
        <w:t>technique</w:t>
      </w:r>
      <w:r>
        <w:rPr>
          <w:lang w:eastAsia="zh-CN"/>
        </w:rPr>
        <w:t xml:space="preserve"> of</w:t>
      </w:r>
      <w:r>
        <w:rPr>
          <w:rFonts w:hint="eastAsia"/>
          <w:lang w:eastAsia="zh-CN"/>
        </w:rPr>
        <w:t xml:space="preserve"> LP-WUR/WUS. </w:t>
      </w:r>
      <w:r>
        <w:rPr>
          <w:lang w:eastAsia="zh-CN"/>
        </w:rPr>
        <w:t>Upon detecting it, the UE’s main radio is triggered to wake and handle the incoming message or data.</w:t>
      </w:r>
      <w:r>
        <w:rPr>
          <w:rFonts w:hint="eastAsia"/>
          <w:lang w:eastAsia="zh-CN"/>
        </w:rPr>
        <w:t xml:space="preserve"> </w:t>
      </w:r>
      <w:r>
        <w:rPr>
          <w:lang w:eastAsia="zh-CN"/>
        </w:rPr>
        <w:t>6G will natively embrace such techniques</w:t>
      </w:r>
      <w:r>
        <w:rPr>
          <w:rFonts w:hint="eastAsia"/>
          <w:lang w:eastAsia="zh-CN"/>
        </w:rPr>
        <w:t xml:space="preserve">. </w:t>
      </w:r>
      <w:r>
        <w:rPr>
          <w:lang w:eastAsia="zh-CN"/>
        </w:rPr>
        <w:t>I</w:t>
      </w:r>
      <w:r>
        <w:rPr>
          <w:rFonts w:hint="eastAsia"/>
          <w:lang w:eastAsia="zh-CN"/>
        </w:rPr>
        <w:t>n 6G, b</w:t>
      </w:r>
      <w:r>
        <w:rPr>
          <w:lang w:eastAsia="zh-CN"/>
        </w:rPr>
        <w:t>y utilizing such wake-up signals both in downlink and potentially in uplink, UEs avoid the energy cost of constant monitoring.</w:t>
      </w:r>
    </w:p>
    <w:p w14:paraId="0BFDC1F0">
      <w:pPr>
        <w:rPr>
          <w:lang w:eastAsia="zh-CN"/>
        </w:rPr>
      </w:pPr>
      <w:r>
        <w:rPr>
          <w:lang w:eastAsia="zh-CN"/>
        </w:rPr>
        <w:t>In summary</w:t>
      </w:r>
      <w:r>
        <w:rPr>
          <w:rFonts w:hint="eastAsia"/>
          <w:lang w:eastAsia="zh-CN"/>
        </w:rPr>
        <w:t xml:space="preserve">, </w:t>
      </w:r>
      <w:r>
        <w:rPr>
          <w:lang w:eastAsia="zh-CN"/>
        </w:rPr>
        <w:t xml:space="preserve">6G </w:t>
      </w:r>
      <w:r>
        <w:rPr>
          <w:rFonts w:hint="eastAsia"/>
          <w:lang w:eastAsia="zh-CN"/>
        </w:rPr>
        <w:t xml:space="preserve">would </w:t>
      </w:r>
      <w:r>
        <w:rPr>
          <w:lang w:eastAsia="zh-CN"/>
        </w:rPr>
        <w:t>envision a tight UE-network collaboration for energy management.</w:t>
      </w:r>
      <w:r>
        <w:rPr>
          <w:rFonts w:hint="eastAsia"/>
          <w:lang w:eastAsia="zh-CN"/>
        </w:rPr>
        <w:t xml:space="preserve"> </w:t>
      </w:r>
      <w:r>
        <w:rPr>
          <w:lang w:eastAsia="zh-CN"/>
        </w:rPr>
        <w:t>A UE could inform the network of its desired sleep duration or power state, and the network can schedule around that, only transmitting synchronization signals, system information, paging messages, and even control channels only when they are needed</w:t>
      </w:r>
      <w:r>
        <w:rPr>
          <w:rFonts w:hint="eastAsia"/>
          <w:lang w:eastAsia="zh-CN"/>
        </w:rPr>
        <w:t>.</w:t>
      </w:r>
    </w:p>
    <w:p w14:paraId="753F9CA2">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5</w:t>
      </w:r>
      <w:r>
        <w:rPr>
          <w:rFonts w:hint="default" w:ascii="Times New Roman Bold Italic" w:hAnsi="Times New Roman Bold Italic" w:cs="Times New Roman Bold Italic"/>
          <w:b/>
          <w:bCs/>
          <w:i/>
          <w:iCs/>
          <w:lang w:eastAsia="zh-CN"/>
        </w:rPr>
        <w:t xml:space="preserve">: 6G would envision a tight UE-network collaboration for energy management and study the techniques for transmitting synchronization signals, system information, paging messages, and even control channels  </w:t>
      </w:r>
      <w:r>
        <w:rPr>
          <w:rFonts w:hint="eastAsia" w:ascii="Times New Roman Bold Italic" w:hAnsi="Times New Roman Bold Italic" w:cs="Times New Roman Bold Italic"/>
          <w:b/>
          <w:bCs/>
          <w:i/>
          <w:iCs/>
          <w:lang w:val="en-US" w:eastAsia="zh-CN"/>
        </w:rPr>
        <w:t>if any</w:t>
      </w:r>
      <w:r>
        <w:rPr>
          <w:rFonts w:hint="default" w:ascii="Times New Roman Bold Italic" w:hAnsi="Times New Roman Bold Italic" w:cs="Times New Roman Bold Italic"/>
          <w:b/>
          <w:bCs/>
          <w:i/>
          <w:iCs/>
          <w:lang w:eastAsia="zh-CN"/>
        </w:rPr>
        <w:t>.</w:t>
      </w:r>
    </w:p>
    <w:p w14:paraId="0F89B6D4">
      <w:pPr>
        <w:ind w:leftChars="100"/>
        <w:jc w:val="center"/>
        <w:rPr>
          <w:rFonts w:hint="eastAsia"/>
          <w:lang w:val="en-US" w:eastAsia="zh-CN"/>
        </w:rPr>
      </w:pPr>
    </w:p>
    <w:p w14:paraId="39E40D55">
      <w:pPr>
        <w:pStyle w:val="4"/>
        <w:numPr>
          <w:ilvl w:val="2"/>
          <w:numId w:val="0"/>
        </w:numPr>
        <w:tabs>
          <w:tab w:val="left" w:pos="576"/>
          <w:tab w:val="clear" w:pos="432"/>
          <w:tab w:val="clear" w:pos="720"/>
        </w:tabs>
        <w:ind w:leftChars="100"/>
        <w:outlineLvl w:val="2"/>
        <w:rPr>
          <w:rFonts w:hint="default"/>
          <w:lang w:val="en-US" w:eastAsia="zh-CN"/>
        </w:rPr>
      </w:pPr>
      <w:r>
        <w:rPr>
          <w:rFonts w:hint="eastAsia"/>
          <w:lang w:val="en-US" w:eastAsia="zh-CN"/>
        </w:rPr>
        <w:t xml:space="preserve">4.3.2 </w:t>
      </w:r>
      <w:r>
        <w:rPr>
          <w:rFonts w:hint="default"/>
          <w:lang w:val="en-US" w:eastAsia="zh-CN"/>
        </w:rPr>
        <w:t>Scalability of frequency domain</w:t>
      </w:r>
    </w:p>
    <w:p w14:paraId="647B2BCB">
      <w:pPr>
        <w:rPr>
          <w:lang w:eastAsia="zh-CN"/>
        </w:rPr>
      </w:pPr>
      <w:r>
        <w:rPr>
          <w:rFonts w:hint="eastAsia"/>
          <w:lang w:eastAsia="zh-CN"/>
        </w:rPr>
        <w:t xml:space="preserve">Besides reducing </w:t>
      </w:r>
      <w:r>
        <w:rPr>
          <w:lang w:eastAsia="zh-CN"/>
        </w:rPr>
        <w:t>always-on transmissions</w:t>
      </w:r>
      <w:r>
        <w:rPr>
          <w:rFonts w:hint="eastAsia"/>
          <w:lang w:eastAsia="zh-CN"/>
        </w:rPr>
        <w:t xml:space="preserve">, 6G </w:t>
      </w:r>
      <w:r>
        <w:rPr>
          <w:lang w:eastAsia="zh-CN"/>
        </w:rPr>
        <w:t xml:space="preserve">is </w:t>
      </w:r>
      <w:r>
        <w:rPr>
          <w:rFonts w:hint="eastAsia"/>
          <w:lang w:eastAsia="zh-CN"/>
        </w:rPr>
        <w:t xml:space="preserve">also </w:t>
      </w:r>
      <w:r>
        <w:rPr>
          <w:lang w:eastAsia="zh-CN"/>
        </w:rPr>
        <w:t xml:space="preserve">exploring new frequency-domain strategies to further </w:t>
      </w:r>
      <w:r>
        <w:rPr>
          <w:rFonts w:hint="eastAsia"/>
          <w:lang w:eastAsia="zh-CN"/>
        </w:rPr>
        <w:t>improve the</w:t>
      </w:r>
      <w:r>
        <w:rPr>
          <w:lang w:eastAsia="zh-CN"/>
        </w:rPr>
        <w:t xml:space="preserve"> energy </w:t>
      </w:r>
      <w:r>
        <w:rPr>
          <w:rFonts w:hint="eastAsia"/>
          <w:lang w:eastAsia="zh-CN"/>
        </w:rPr>
        <w:t>efficiency.</w:t>
      </w:r>
      <w:r>
        <w:t xml:space="preserve"> </w:t>
      </w:r>
      <w:r>
        <w:rPr>
          <w:rFonts w:hint="eastAsia"/>
          <w:lang w:eastAsia="zh-CN"/>
        </w:rPr>
        <w:t>D</w:t>
      </w:r>
      <w:r>
        <w:rPr>
          <w:lang w:eastAsia="zh-CN"/>
        </w:rPr>
        <w:t xml:space="preserve">ynamically adapting how </w:t>
      </w:r>
      <w:r>
        <w:rPr>
          <w:rFonts w:hint="eastAsia"/>
          <w:lang w:eastAsia="zh-CN"/>
        </w:rPr>
        <w:t xml:space="preserve">the </w:t>
      </w:r>
      <w:r>
        <w:rPr>
          <w:lang w:eastAsia="zh-CN"/>
        </w:rPr>
        <w:t xml:space="preserve">spectrum is active and how it is used can significantly improve energy performance for both </w:t>
      </w:r>
      <w:r>
        <w:rPr>
          <w:rFonts w:hint="eastAsia"/>
          <w:lang w:eastAsia="zh-CN"/>
        </w:rPr>
        <w:t xml:space="preserve">UE and network. </w:t>
      </w:r>
      <w:r>
        <w:rPr>
          <w:lang w:eastAsia="zh-CN"/>
        </w:rPr>
        <w:t xml:space="preserve">5G and evolving 6G systems allow a cell or device to utilize multiple carriers simultaneously. </w:t>
      </w:r>
      <w:r>
        <w:rPr>
          <w:rFonts w:hint="eastAsia"/>
          <w:lang w:eastAsia="zh-CN"/>
        </w:rPr>
        <w:t>M</w:t>
      </w:r>
      <w:r>
        <w:rPr>
          <w:lang w:eastAsia="zh-CN"/>
        </w:rPr>
        <w:t xml:space="preserve">ulti-carrier operation enables </w:t>
      </w:r>
      <w:r>
        <w:rPr>
          <w:rFonts w:hint="eastAsia"/>
          <w:lang w:eastAsia="zh-CN"/>
        </w:rPr>
        <w:t xml:space="preserve">the </w:t>
      </w:r>
      <w:r>
        <w:rPr>
          <w:lang w:eastAsia="zh-CN"/>
        </w:rPr>
        <w:t>flexib</w:t>
      </w:r>
      <w:r>
        <w:rPr>
          <w:rFonts w:hint="eastAsia"/>
          <w:lang w:eastAsia="zh-CN"/>
        </w:rPr>
        <w:t>ility</w:t>
      </w:r>
      <w:r>
        <w:rPr>
          <w:lang w:eastAsia="zh-CN"/>
        </w:rPr>
        <w:t xml:space="preserve"> of spectrum</w:t>
      </w:r>
      <w:r>
        <w:rPr>
          <w:rFonts w:hint="eastAsia"/>
          <w:lang w:eastAsia="zh-CN"/>
        </w:rPr>
        <w:t xml:space="preserve">. </w:t>
      </w:r>
    </w:p>
    <w:p w14:paraId="7E796FA5">
      <w:pPr>
        <w:rPr>
          <w:rFonts w:hint="eastAsia"/>
          <w:lang w:eastAsia="zh-CN"/>
        </w:rPr>
      </w:pPr>
      <w:r>
        <w:rPr>
          <w:lang w:eastAsia="zh-CN"/>
        </w:rPr>
        <w:t>In 5G-Advanced, RAN1 has been studying techniques for SCell dormancy, wherein secondary component carriers in carrier aggregation can be put to “sleep” when no data is scheduled. A dormant secondary cell carries no PDCCH</w:t>
      </w:r>
      <w:r>
        <w:rPr>
          <w:rFonts w:hint="eastAsia"/>
          <w:lang w:eastAsia="zh-CN"/>
        </w:rPr>
        <w:t xml:space="preserve">, </w:t>
      </w:r>
      <w:r>
        <w:rPr>
          <w:lang w:eastAsia="zh-CN"/>
        </w:rPr>
        <w:t>allowing the UE to shut off RF and baseband processing for that frequency</w:t>
      </w:r>
      <w:r>
        <w:rPr>
          <w:rFonts w:hint="eastAsia"/>
          <w:lang w:eastAsia="zh-CN"/>
        </w:rPr>
        <w:t xml:space="preserve">. </w:t>
      </w:r>
      <w:r>
        <w:rPr>
          <w:lang w:eastAsia="zh-CN"/>
        </w:rPr>
        <w:t xml:space="preserve">This avoids the UE power </w:t>
      </w:r>
      <w:r>
        <w:rPr>
          <w:rFonts w:hint="eastAsia"/>
          <w:lang w:eastAsia="zh-CN"/>
        </w:rPr>
        <w:t>wasting</w:t>
      </w:r>
      <w:r>
        <w:rPr>
          <w:lang w:eastAsia="zh-CN"/>
        </w:rPr>
        <w:t xml:space="preserve"> of monitoring multiple carriers continuously.</w:t>
      </w:r>
      <w:r>
        <w:rPr>
          <w:rFonts w:hint="eastAsia"/>
          <w:lang w:eastAsia="zh-CN"/>
        </w:rPr>
        <w:t xml:space="preserve"> </w:t>
      </w:r>
      <w:r>
        <w:rPr>
          <w:lang w:eastAsia="zh-CN"/>
        </w:rPr>
        <w:t>I</w:t>
      </w:r>
      <w:r>
        <w:rPr>
          <w:rFonts w:hint="eastAsia"/>
          <w:lang w:eastAsia="zh-CN"/>
        </w:rPr>
        <w:t xml:space="preserve">n 6G, by the </w:t>
      </w:r>
      <w:r>
        <w:rPr>
          <w:lang w:eastAsia="zh-CN"/>
        </w:rPr>
        <w:t xml:space="preserve">strategies </w:t>
      </w:r>
      <w:r>
        <w:rPr>
          <w:rFonts w:hint="eastAsia"/>
          <w:lang w:eastAsia="zh-CN"/>
        </w:rPr>
        <w:t xml:space="preserve">of </w:t>
      </w:r>
      <w:r>
        <w:rPr>
          <w:lang w:eastAsia="zh-CN"/>
        </w:rPr>
        <w:t>multi-carrier</w:t>
      </w:r>
      <w:r>
        <w:rPr>
          <w:rFonts w:hint="eastAsia"/>
          <w:lang w:eastAsia="zh-CN"/>
        </w:rPr>
        <w:t xml:space="preserve"> management including d</w:t>
      </w:r>
      <w:r>
        <w:rPr>
          <w:lang w:eastAsia="zh-CN"/>
        </w:rPr>
        <w:t>ynamic multi-carrier activation/deactivation</w:t>
      </w:r>
      <w:r>
        <w:rPr>
          <w:rFonts w:hint="eastAsia"/>
          <w:lang w:eastAsia="zh-CN"/>
        </w:rPr>
        <w:t xml:space="preserve">/switching, it is expected to </w:t>
      </w:r>
      <w:r>
        <w:rPr>
          <w:lang w:eastAsia="zh-CN"/>
        </w:rPr>
        <w:t xml:space="preserve">scale bandwidth on demand, maintaining high throughput when needed but dropping </w:t>
      </w:r>
      <w:r>
        <w:rPr>
          <w:rFonts w:hint="eastAsia"/>
          <w:lang w:eastAsia="zh-CN"/>
        </w:rPr>
        <w:t>power consumption</w:t>
      </w:r>
      <w:r>
        <w:rPr>
          <w:lang w:eastAsia="zh-CN"/>
        </w:rPr>
        <w:t xml:space="preserve"> </w:t>
      </w:r>
      <w:r>
        <w:rPr>
          <w:rFonts w:hint="eastAsia"/>
          <w:lang w:eastAsia="zh-CN"/>
        </w:rPr>
        <w:t>when low traffic load.</w:t>
      </w:r>
    </w:p>
    <w:p w14:paraId="6D32CFF7">
      <w:pPr>
        <w:rPr>
          <w:lang w:eastAsia="zh-CN"/>
        </w:rPr>
      </w:pPr>
      <w:r>
        <w:rPr>
          <w:rFonts w:hint="eastAsia"/>
          <w:lang w:eastAsia="zh-CN"/>
        </w:rPr>
        <w:t>5G</w:t>
      </w:r>
      <w:r>
        <w:rPr>
          <w:lang w:eastAsia="zh-CN"/>
        </w:rPr>
        <w:t xml:space="preserve"> has introduced “SSB-less” </w:t>
      </w:r>
      <w:r>
        <w:rPr>
          <w:rFonts w:hint="eastAsia"/>
          <w:lang w:eastAsia="zh-CN"/>
        </w:rPr>
        <w:t xml:space="preserve">SCell </w:t>
      </w:r>
      <w:r>
        <w:rPr>
          <w:lang w:eastAsia="zh-CN"/>
        </w:rPr>
        <w:t>which</w:t>
      </w:r>
      <w:r>
        <w:rPr>
          <w:rFonts w:hint="eastAsia"/>
          <w:lang w:eastAsia="zh-CN"/>
        </w:rPr>
        <w:t xml:space="preserve"> </w:t>
      </w:r>
      <w:r>
        <w:rPr>
          <w:lang w:eastAsia="zh-CN"/>
        </w:rPr>
        <w:t>means not every carrier needs its own</w:t>
      </w:r>
      <w:r>
        <w:rPr>
          <w:rFonts w:hint="eastAsia"/>
          <w:lang w:eastAsia="zh-CN"/>
        </w:rPr>
        <w:t xml:space="preserve"> SSB. </w:t>
      </w:r>
      <w:r>
        <w:rPr>
          <w:lang w:eastAsia="zh-CN"/>
        </w:rPr>
        <w:t xml:space="preserve">Eliminating duplicate </w:t>
      </w:r>
      <w:r>
        <w:rPr>
          <w:rFonts w:hint="eastAsia"/>
          <w:lang w:eastAsia="zh-CN"/>
        </w:rPr>
        <w:t xml:space="preserve">common signals </w:t>
      </w:r>
      <w:r>
        <w:rPr>
          <w:lang w:eastAsia="zh-CN"/>
        </w:rPr>
        <w:t xml:space="preserve">on </w:t>
      </w:r>
      <w:r>
        <w:rPr>
          <w:rFonts w:hint="eastAsia"/>
          <w:lang w:eastAsia="zh-CN"/>
        </w:rPr>
        <w:t>each</w:t>
      </w:r>
      <w:r>
        <w:rPr>
          <w:lang w:eastAsia="zh-CN"/>
        </w:rPr>
        <w:t xml:space="preserve"> frequency band directly reduces gNB transmi</w:t>
      </w:r>
      <w:r>
        <w:rPr>
          <w:rFonts w:hint="eastAsia"/>
          <w:lang w:eastAsia="zh-CN"/>
        </w:rPr>
        <w:t>ssion</w:t>
      </w:r>
      <w:r>
        <w:rPr>
          <w:lang w:eastAsia="zh-CN"/>
        </w:rPr>
        <w:t xml:space="preserve"> and allows UEs to avoid constantly monitoring multiple bands, conserving energy on both sides</w:t>
      </w:r>
      <w:r>
        <w:rPr>
          <w:rFonts w:hint="eastAsia"/>
          <w:lang w:eastAsia="zh-CN"/>
        </w:rPr>
        <w:t xml:space="preserve">. </w:t>
      </w:r>
    </w:p>
    <w:p w14:paraId="6A7EC9B9">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18</w:t>
      </w:r>
      <w:r>
        <w:rPr>
          <w:rFonts w:hint="default" w:ascii="Times New Roman Bold Italic" w:hAnsi="Times New Roman Bold Italic" w:cs="Times New Roman Bold Italic"/>
          <w:b/>
          <w:bCs/>
          <w:i/>
          <w:iCs/>
          <w:lang w:eastAsia="zh-CN"/>
        </w:rPr>
        <w:t>: For multi-carrier operation and single-cell multi-carrier deployment, scaling bandwidth on demand and eliminating duplicate common signals on each frequency band makes 6G systems more power-efficient.</w:t>
      </w:r>
    </w:p>
    <w:p w14:paraId="2A5C71E7">
      <w:pPr>
        <w:rPr>
          <w:rFonts w:hint="eastAsia"/>
          <w:lang w:eastAsia="zh-CN"/>
        </w:rPr>
      </w:pPr>
      <w:r>
        <w:rPr>
          <w:rFonts w:hint="eastAsia"/>
          <w:lang w:eastAsia="zh-CN"/>
        </w:rPr>
        <w:t xml:space="preserve">NR </w:t>
      </w:r>
      <w:r>
        <w:rPr>
          <w:lang w:eastAsia="zh-CN"/>
        </w:rPr>
        <w:t xml:space="preserve">introduced the concept of </w:t>
      </w:r>
      <w:r>
        <w:rPr>
          <w:rFonts w:hint="eastAsia"/>
          <w:lang w:eastAsia="zh-CN"/>
        </w:rPr>
        <w:t xml:space="preserve">BWP </w:t>
      </w:r>
      <w:r>
        <w:rPr>
          <w:lang w:eastAsia="zh-CN"/>
        </w:rPr>
        <w:t>to allow UEs to operate on a subset of the full carrier bandwidth and thereby save power</w:t>
      </w:r>
      <w:r>
        <w:rPr>
          <w:rFonts w:hint="eastAsia"/>
          <w:lang w:eastAsia="zh-CN"/>
        </w:rPr>
        <w:t xml:space="preserve">. By using BWP, </w:t>
      </w:r>
      <w:r>
        <w:rPr>
          <w:lang w:eastAsia="zh-CN"/>
        </w:rPr>
        <w:t>the UE’s analog front-end (LNA, mixers, ADC) can be tuned to a narrower bandwidth and its baseband only processes a smaller FFT size, significantly reducing power consumption</w:t>
      </w:r>
      <w:r>
        <w:rPr>
          <w:rFonts w:hint="eastAsia"/>
          <w:lang w:eastAsia="zh-CN"/>
        </w:rPr>
        <w:t xml:space="preserve">. </w:t>
      </w:r>
      <w:r>
        <w:rPr>
          <w:lang w:eastAsia="zh-CN"/>
        </w:rPr>
        <w:t>I</w:t>
      </w:r>
      <w:r>
        <w:rPr>
          <w:rFonts w:hint="eastAsia"/>
          <w:lang w:eastAsia="zh-CN"/>
        </w:rPr>
        <w:t xml:space="preserve">n 6G, larger channel bandwidth could be supported. </w:t>
      </w:r>
      <w:r>
        <w:rPr>
          <w:lang w:eastAsia="zh-CN"/>
        </w:rPr>
        <w:t>F</w:t>
      </w:r>
      <w:r>
        <w:rPr>
          <w:rFonts w:hint="eastAsia"/>
          <w:lang w:eastAsia="zh-CN"/>
        </w:rPr>
        <w:t xml:space="preserve">rom the perspective of improving energy efficiency, the concept of BWP should be further considered in 6G system. </w:t>
      </w:r>
      <w:r>
        <w:rPr>
          <w:lang w:eastAsia="zh-CN"/>
        </w:rPr>
        <w:t>T</w:t>
      </w:r>
      <w:r>
        <w:rPr>
          <w:rFonts w:hint="eastAsia"/>
          <w:lang w:eastAsia="zh-CN"/>
        </w:rPr>
        <w:t xml:space="preserve">he </w:t>
      </w:r>
      <w:r>
        <w:rPr>
          <w:lang w:eastAsia="zh-CN"/>
        </w:rPr>
        <w:t>techniques</w:t>
      </w:r>
      <w:r>
        <w:rPr>
          <w:rFonts w:hint="eastAsia"/>
          <w:lang w:eastAsia="zh-CN"/>
        </w:rPr>
        <w:t xml:space="preserve"> of BWP in 6G would be more efficient and more </w:t>
      </w:r>
      <w:r>
        <w:rPr>
          <w:lang w:eastAsia="zh-CN"/>
        </w:rPr>
        <w:t>robust</w:t>
      </w:r>
      <w:r>
        <w:rPr>
          <w:rFonts w:hint="eastAsia"/>
          <w:lang w:eastAsia="zh-CN"/>
        </w:rPr>
        <w:t>.</w:t>
      </w:r>
    </w:p>
    <w:p w14:paraId="2ECEDBAF">
      <w:pPr>
        <w:rPr>
          <w:rFonts w:hint="eastAsia"/>
          <w:lang w:eastAsia="zh-CN"/>
        </w:rPr>
      </w:pPr>
      <w:r>
        <w:rPr>
          <w:lang w:eastAsia="zh-CN"/>
        </w:rPr>
        <w:t>The scalable frequency techniques discussed have direct implications on hardware and PHY design.</w:t>
      </w:r>
      <w:r>
        <w:rPr>
          <w:rFonts w:hint="eastAsia"/>
          <w:lang w:eastAsia="zh-CN"/>
        </w:rPr>
        <w:t xml:space="preserve"> </w:t>
      </w:r>
      <w:r>
        <w:rPr>
          <w:lang w:eastAsia="zh-CN"/>
        </w:rPr>
        <w:t>RAN1 will consider signaling that minimizes how often UEs need to switch bands or BWPs.</w:t>
      </w:r>
      <w:r>
        <w:rPr>
          <w:rFonts w:hint="eastAsia"/>
          <w:lang w:eastAsia="zh-CN"/>
        </w:rPr>
        <w:t xml:space="preserve"> </w:t>
      </w:r>
      <w:r>
        <w:rPr>
          <w:lang w:eastAsia="zh-CN"/>
        </w:rPr>
        <w:t xml:space="preserve">The scheduler may also consider the power cost </w:t>
      </w:r>
      <w:r>
        <w:rPr>
          <w:rFonts w:hint="eastAsia"/>
          <w:lang w:eastAsia="zh-CN"/>
        </w:rPr>
        <w:t>when</w:t>
      </w:r>
      <w:r>
        <w:rPr>
          <w:lang w:eastAsia="zh-CN"/>
        </w:rPr>
        <w:t xml:space="preserve"> assigning resources</w:t>
      </w:r>
      <w:r>
        <w:rPr>
          <w:rFonts w:hint="eastAsia"/>
          <w:lang w:eastAsia="zh-CN"/>
        </w:rPr>
        <w:t xml:space="preserve">. </w:t>
      </w:r>
    </w:p>
    <w:p w14:paraId="24A0F5C1">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6</w:t>
      </w:r>
      <w:r>
        <w:rPr>
          <w:rFonts w:hint="default" w:ascii="Times New Roman Bold Italic" w:hAnsi="Times New Roman Bold Italic" w:cs="Times New Roman Bold Italic"/>
          <w:b/>
          <w:bCs/>
          <w:i/>
          <w:iCs/>
          <w:lang w:eastAsia="zh-CN"/>
        </w:rPr>
        <w:t>: Consider scalable frequency-domain techniques to improve energy efficiency for both device and network, including efficient multi-carrier management, BWP adaptation, flexible scheduling.</w:t>
      </w:r>
    </w:p>
    <w:p w14:paraId="72CA359E">
      <w:pPr>
        <w:rPr>
          <w:rFonts w:hint="default"/>
          <w:b/>
          <w:bCs/>
          <w:lang w:val="en-US" w:eastAsia="zh-CN"/>
        </w:rPr>
      </w:pPr>
    </w:p>
    <w:p w14:paraId="6916BF74">
      <w:pPr>
        <w:pStyle w:val="4"/>
        <w:numPr>
          <w:ilvl w:val="2"/>
          <w:numId w:val="0"/>
        </w:numPr>
        <w:tabs>
          <w:tab w:val="left" w:pos="576"/>
          <w:tab w:val="clear" w:pos="432"/>
          <w:tab w:val="clear" w:pos="720"/>
        </w:tabs>
        <w:ind w:leftChars="100"/>
        <w:outlineLvl w:val="2"/>
        <w:rPr>
          <w:rFonts w:hint="default"/>
          <w:lang w:val="en-US" w:eastAsia="zh-CN"/>
        </w:rPr>
      </w:pPr>
      <w:r>
        <w:rPr>
          <w:rFonts w:hint="eastAsia"/>
          <w:lang w:val="en-US" w:eastAsia="zh-CN"/>
        </w:rPr>
        <w:t>4.3.3</w:t>
      </w:r>
      <w:r>
        <w:rPr>
          <w:rFonts w:hint="default"/>
          <w:lang w:val="en-US" w:eastAsia="zh-CN"/>
        </w:rPr>
        <w:t xml:space="preserve"> </w:t>
      </w:r>
      <w:r>
        <w:rPr>
          <w:rFonts w:hint="eastAsia"/>
          <w:lang w:val="en-US" w:eastAsia="zh-CN"/>
        </w:rPr>
        <w:t>Spatial domain</w:t>
      </w:r>
      <w:r>
        <w:rPr>
          <w:rFonts w:hint="default"/>
          <w:lang w:val="en-US" w:eastAsia="zh-CN"/>
        </w:rPr>
        <w:t xml:space="preserve"> transmission</w:t>
      </w:r>
    </w:p>
    <w:p w14:paraId="59034563">
      <w:pPr>
        <w:rPr>
          <w:lang w:eastAsia="zh-CN"/>
        </w:rPr>
      </w:pPr>
      <w:r>
        <w:rPr>
          <w:lang w:eastAsia="zh-CN"/>
        </w:rPr>
        <w:t>The core principle behind spatial scalability is therefore simple</w:t>
      </w:r>
      <w:r>
        <w:rPr>
          <w:rFonts w:hint="eastAsia"/>
          <w:lang w:eastAsia="zh-CN"/>
        </w:rPr>
        <w:t xml:space="preserve">, i.e., </w:t>
      </w:r>
      <w:r>
        <w:rPr>
          <w:lang w:eastAsia="zh-CN"/>
        </w:rPr>
        <w:t>adapt</w:t>
      </w:r>
      <w:r>
        <w:rPr>
          <w:rFonts w:hint="eastAsia"/>
          <w:lang w:eastAsia="zh-CN"/>
        </w:rPr>
        <w:t>ing</w:t>
      </w:r>
      <w:r>
        <w:rPr>
          <w:lang w:eastAsia="zh-CN"/>
        </w:rPr>
        <w:t xml:space="preserve"> the number of active antennas, panels, beams </w:t>
      </w:r>
      <w:r>
        <w:rPr>
          <w:rFonts w:hint="eastAsia"/>
          <w:lang w:eastAsia="zh-CN"/>
        </w:rPr>
        <w:t>or</w:t>
      </w:r>
      <w:r>
        <w:rPr>
          <w:lang w:eastAsia="zh-CN"/>
        </w:rPr>
        <w:t xml:space="preserve"> TRPs </w:t>
      </w:r>
      <w:r>
        <w:rPr>
          <w:rFonts w:hint="eastAsia"/>
          <w:lang w:eastAsia="zh-CN"/>
        </w:rPr>
        <w:t>by on-demand manner.</w:t>
      </w:r>
    </w:p>
    <w:p w14:paraId="27957341">
      <w:pPr>
        <w:rPr>
          <w:rFonts w:hint="eastAsia"/>
          <w:lang w:eastAsia="zh-CN"/>
        </w:rPr>
      </w:pPr>
      <w:r>
        <w:rPr>
          <w:rFonts w:hint="eastAsia"/>
          <w:lang w:eastAsia="zh-CN"/>
        </w:rPr>
        <w:t>From UE</w:t>
      </w:r>
      <w:r>
        <w:rPr>
          <w:lang w:eastAsia="zh-CN"/>
        </w:rPr>
        <w:t>’</w:t>
      </w:r>
      <w:r>
        <w:rPr>
          <w:rFonts w:hint="eastAsia"/>
          <w:lang w:eastAsia="zh-CN"/>
        </w:rPr>
        <w:t>s perspective, s</w:t>
      </w:r>
      <w:r>
        <w:rPr>
          <w:lang w:eastAsia="zh-CN"/>
        </w:rPr>
        <w:t>patial scalability means switch</w:t>
      </w:r>
      <w:r>
        <w:rPr>
          <w:rFonts w:hint="eastAsia"/>
          <w:lang w:eastAsia="zh-CN"/>
        </w:rPr>
        <w:t>ing</w:t>
      </w:r>
      <w:r>
        <w:rPr>
          <w:lang w:eastAsia="zh-CN"/>
        </w:rPr>
        <w:t xml:space="preserve"> on </w:t>
      </w:r>
      <w:r>
        <w:rPr>
          <w:rFonts w:hint="eastAsia"/>
          <w:lang w:eastAsia="zh-CN"/>
        </w:rPr>
        <w:t xml:space="preserve">more </w:t>
      </w:r>
      <w:r>
        <w:rPr>
          <w:lang w:eastAsia="zh-CN"/>
        </w:rPr>
        <w:t>panel</w:t>
      </w:r>
      <w:r>
        <w:rPr>
          <w:rFonts w:hint="eastAsia"/>
          <w:lang w:eastAsia="zh-CN"/>
        </w:rPr>
        <w:t>(</w:t>
      </w:r>
      <w:r>
        <w:rPr>
          <w:lang w:eastAsia="zh-CN"/>
        </w:rPr>
        <w:t>s</w:t>
      </w:r>
      <w:r>
        <w:rPr>
          <w:rFonts w:hint="eastAsia"/>
          <w:lang w:eastAsia="zh-CN"/>
        </w:rPr>
        <w:t>)/</w:t>
      </w:r>
      <w:r>
        <w:rPr>
          <w:lang w:eastAsia="zh-CN"/>
        </w:rPr>
        <w:t>antenna</w:t>
      </w:r>
      <w:r>
        <w:rPr>
          <w:rFonts w:hint="eastAsia"/>
          <w:lang w:eastAsia="zh-CN"/>
        </w:rPr>
        <w:t xml:space="preserve">(s) </w:t>
      </w:r>
      <w:r>
        <w:rPr>
          <w:lang w:eastAsia="zh-CN"/>
        </w:rPr>
        <w:t>only when needed</w:t>
      </w:r>
      <w:r>
        <w:rPr>
          <w:rFonts w:hint="eastAsia"/>
          <w:lang w:eastAsia="zh-CN"/>
        </w:rPr>
        <w:t xml:space="preserve">, otherwise, </w:t>
      </w:r>
      <w:r>
        <w:rPr>
          <w:lang w:eastAsia="zh-CN"/>
        </w:rPr>
        <w:t xml:space="preserve">selecting </w:t>
      </w:r>
      <w:r>
        <w:rPr>
          <w:rFonts w:hint="eastAsia"/>
          <w:lang w:eastAsia="zh-CN"/>
        </w:rPr>
        <w:t xml:space="preserve">less </w:t>
      </w:r>
      <w:r>
        <w:rPr>
          <w:lang w:eastAsia="zh-CN"/>
        </w:rPr>
        <w:t>panel</w:t>
      </w:r>
      <w:r>
        <w:rPr>
          <w:rFonts w:hint="eastAsia"/>
          <w:lang w:eastAsia="zh-CN"/>
        </w:rPr>
        <w:t>(</w:t>
      </w:r>
      <w:r>
        <w:rPr>
          <w:lang w:eastAsia="zh-CN"/>
        </w:rPr>
        <w:t>s</w:t>
      </w:r>
      <w:r>
        <w:rPr>
          <w:rFonts w:hint="eastAsia"/>
          <w:lang w:eastAsia="zh-CN"/>
        </w:rPr>
        <w:t>)/</w:t>
      </w:r>
      <w:r>
        <w:rPr>
          <w:lang w:eastAsia="zh-CN"/>
        </w:rPr>
        <w:t>antenna</w:t>
      </w:r>
      <w:r>
        <w:rPr>
          <w:rFonts w:hint="eastAsia"/>
          <w:lang w:eastAsia="zh-CN"/>
        </w:rPr>
        <w:t>(s)</w:t>
      </w:r>
      <w:r>
        <w:rPr>
          <w:lang w:eastAsia="zh-CN"/>
        </w:rPr>
        <w:t xml:space="preserve"> and keeping the rest </w:t>
      </w:r>
      <w:r>
        <w:rPr>
          <w:rFonts w:hint="eastAsia"/>
          <w:lang w:eastAsia="zh-CN"/>
        </w:rPr>
        <w:t>turn off</w:t>
      </w:r>
      <w:r>
        <w:rPr>
          <w:lang w:eastAsia="zh-CN"/>
        </w:rPr>
        <w:t>.</w:t>
      </w:r>
      <w:r>
        <w:rPr>
          <w:rFonts w:hint="eastAsia"/>
          <w:lang w:eastAsia="zh-CN"/>
        </w:rPr>
        <w:t xml:space="preserve"> A</w:t>
      </w:r>
      <w:r>
        <w:rPr>
          <w:lang w:eastAsia="zh-CN"/>
        </w:rPr>
        <w:t>ctivating fewer panels</w:t>
      </w:r>
      <w:r>
        <w:rPr>
          <w:rFonts w:hint="eastAsia"/>
          <w:lang w:eastAsia="zh-CN"/>
        </w:rPr>
        <w:t>/</w:t>
      </w:r>
      <w:r>
        <w:rPr>
          <w:lang w:eastAsia="zh-CN"/>
        </w:rPr>
        <w:t>antennas when channel permits reduce front</w:t>
      </w:r>
      <w:r>
        <w:rPr>
          <w:lang w:eastAsia="zh-CN"/>
        </w:rPr>
        <w:noBreakHyphen/>
      </w:r>
      <w:r>
        <w:rPr>
          <w:lang w:eastAsia="zh-CN"/>
        </w:rPr>
        <w:t>end and baseband power.</w:t>
      </w:r>
      <w:r>
        <w:rPr>
          <w:rFonts w:hint="eastAsia"/>
          <w:lang w:eastAsia="zh-CN"/>
        </w:rPr>
        <w:t xml:space="preserve"> To improve the energy </w:t>
      </w:r>
      <w:r>
        <w:rPr>
          <w:lang w:eastAsia="zh-CN"/>
        </w:rPr>
        <w:t>efficiency</w:t>
      </w:r>
      <w:r>
        <w:rPr>
          <w:rFonts w:hint="eastAsia"/>
          <w:lang w:eastAsia="zh-CN"/>
        </w:rPr>
        <w:t>, the rule can be considered, i.e., s</w:t>
      </w:r>
      <w:r>
        <w:rPr>
          <w:lang w:eastAsia="zh-CN"/>
        </w:rPr>
        <w:t>cale Rx chains and beams with SNR and QoS</w:t>
      </w:r>
      <w:r>
        <w:rPr>
          <w:rFonts w:hint="eastAsia"/>
          <w:lang w:eastAsia="zh-CN"/>
        </w:rPr>
        <w:t>,</w:t>
      </w:r>
      <w:r>
        <w:rPr>
          <w:lang w:eastAsia="zh-CN"/>
        </w:rPr>
        <w:t xml:space="preserve"> </w:t>
      </w:r>
      <w:r>
        <w:rPr>
          <w:rFonts w:hint="eastAsia"/>
          <w:lang w:eastAsia="zh-CN"/>
        </w:rPr>
        <w:t>e.g., p</w:t>
      </w:r>
      <w:r>
        <w:rPr>
          <w:lang w:eastAsia="zh-CN"/>
        </w:rPr>
        <w:t>refer single‑panel</w:t>
      </w:r>
      <w:r>
        <w:rPr>
          <w:rFonts w:hint="eastAsia"/>
          <w:lang w:eastAsia="zh-CN"/>
        </w:rPr>
        <w:t>/antenna</w:t>
      </w:r>
      <w:r>
        <w:rPr>
          <w:lang w:eastAsia="zh-CN"/>
        </w:rPr>
        <w:t xml:space="preserve"> operation in </w:t>
      </w:r>
      <w:r>
        <w:rPr>
          <w:rFonts w:hint="eastAsia"/>
          <w:lang w:eastAsia="zh-CN"/>
        </w:rPr>
        <w:t>power saving</w:t>
      </w:r>
      <w:r>
        <w:rPr>
          <w:lang w:eastAsia="zh-CN"/>
        </w:rPr>
        <w:t xml:space="preserve"> state</w:t>
      </w:r>
      <w:r>
        <w:rPr>
          <w:rFonts w:hint="eastAsia"/>
          <w:lang w:eastAsia="zh-CN"/>
        </w:rPr>
        <w:t>, and</w:t>
      </w:r>
      <w:r>
        <w:rPr>
          <w:lang w:eastAsia="zh-CN"/>
        </w:rPr>
        <w:t xml:space="preserve"> activate additional panels</w:t>
      </w:r>
      <w:r>
        <w:rPr>
          <w:rFonts w:hint="eastAsia"/>
          <w:lang w:eastAsia="zh-CN"/>
        </w:rPr>
        <w:t>/antennas</w:t>
      </w:r>
      <w:r>
        <w:rPr>
          <w:lang w:eastAsia="zh-CN"/>
        </w:rPr>
        <w:t xml:space="preserve"> only </w:t>
      </w:r>
      <w:r>
        <w:rPr>
          <w:rFonts w:hint="eastAsia"/>
          <w:lang w:eastAsia="zh-CN"/>
        </w:rPr>
        <w:t>when channel quality state is needed.</w:t>
      </w:r>
    </w:p>
    <w:p w14:paraId="07A56CF3">
      <w:pPr>
        <w:rPr>
          <w:lang w:eastAsia="zh-CN"/>
        </w:rPr>
      </w:pPr>
      <w:r>
        <w:rPr>
          <w:rFonts w:hint="eastAsia"/>
          <w:lang w:eastAsia="zh-CN"/>
        </w:rPr>
        <w:t>From network</w:t>
      </w:r>
      <w:r>
        <w:rPr>
          <w:lang w:eastAsia="zh-CN"/>
        </w:rPr>
        <w:t>’</w:t>
      </w:r>
      <w:r>
        <w:rPr>
          <w:rFonts w:hint="eastAsia"/>
          <w:lang w:eastAsia="zh-CN"/>
        </w:rPr>
        <w:t xml:space="preserve">s perspective, </w:t>
      </w:r>
      <w:r>
        <w:rPr>
          <w:lang w:eastAsia="zh-CN"/>
        </w:rPr>
        <w:t xml:space="preserve">NES introduced a CSI framework </w:t>
      </w:r>
      <w:r>
        <w:rPr>
          <w:rFonts w:hint="eastAsia"/>
          <w:lang w:eastAsia="zh-CN"/>
        </w:rPr>
        <w:t xml:space="preserve">to support </w:t>
      </w:r>
      <w:r>
        <w:rPr>
          <w:lang w:eastAsia="zh-CN"/>
        </w:rPr>
        <w:t>spatial</w:t>
      </w:r>
      <w:r>
        <w:rPr>
          <w:lang w:eastAsia="zh-CN"/>
        </w:rPr>
        <w:noBreakHyphen/>
      </w:r>
      <w:r>
        <w:rPr>
          <w:lang w:eastAsia="zh-CN"/>
        </w:rPr>
        <w:t>domain (SD) adaptation</w:t>
      </w:r>
      <w:r>
        <w:rPr>
          <w:rFonts w:hint="eastAsia"/>
          <w:lang w:eastAsia="zh-CN"/>
        </w:rPr>
        <w:t xml:space="preserve">. </w:t>
      </w:r>
      <w:r>
        <w:rPr>
          <w:lang w:eastAsia="zh-CN"/>
        </w:rPr>
        <w:t>B</w:t>
      </w:r>
      <w:r>
        <w:rPr>
          <w:rFonts w:hint="eastAsia"/>
          <w:lang w:eastAsia="zh-CN"/>
        </w:rPr>
        <w:t xml:space="preserve">y </w:t>
      </w:r>
      <w:r>
        <w:rPr>
          <w:lang w:eastAsia="zh-CN"/>
        </w:rPr>
        <w:t>spatial</w:t>
      </w:r>
      <w:r>
        <w:rPr>
          <w:lang w:eastAsia="zh-CN"/>
        </w:rPr>
        <w:noBreakHyphen/>
      </w:r>
      <w:r>
        <w:rPr>
          <w:lang w:eastAsia="zh-CN"/>
        </w:rPr>
        <w:t>domain adaptation</w:t>
      </w:r>
      <w:r>
        <w:rPr>
          <w:rFonts w:hint="eastAsia"/>
          <w:lang w:eastAsia="zh-CN"/>
        </w:rPr>
        <w:t xml:space="preserve">, </w:t>
      </w:r>
      <w:r>
        <w:rPr>
          <w:lang w:eastAsia="zh-CN"/>
        </w:rPr>
        <w:t>reduc</w:t>
      </w:r>
      <w:r>
        <w:rPr>
          <w:rFonts w:hint="eastAsia"/>
          <w:lang w:eastAsia="zh-CN"/>
        </w:rPr>
        <w:t>ing</w:t>
      </w:r>
      <w:r>
        <w:rPr>
          <w:lang w:eastAsia="zh-CN"/>
        </w:rPr>
        <w:t xml:space="preserve"> the number of antenna ports</w:t>
      </w:r>
      <w:r>
        <w:rPr>
          <w:rFonts w:hint="eastAsia"/>
          <w:lang w:eastAsia="zh-CN"/>
        </w:rPr>
        <w:t xml:space="preserve"> and </w:t>
      </w:r>
      <w:r>
        <w:rPr>
          <w:lang w:eastAsia="zh-CN"/>
        </w:rPr>
        <w:t>reduc</w:t>
      </w:r>
      <w:r>
        <w:rPr>
          <w:rFonts w:hint="eastAsia"/>
          <w:lang w:eastAsia="zh-CN"/>
        </w:rPr>
        <w:t>ing</w:t>
      </w:r>
      <w:r>
        <w:rPr>
          <w:lang w:eastAsia="zh-CN"/>
        </w:rPr>
        <w:t xml:space="preserve"> the number of antenna elements per port</w:t>
      </w:r>
      <w:r>
        <w:rPr>
          <w:rFonts w:hint="eastAsia"/>
          <w:lang w:eastAsia="zh-CN"/>
        </w:rPr>
        <w:t xml:space="preserve"> are considered. </w:t>
      </w:r>
      <w:r>
        <w:rPr>
          <w:lang w:eastAsia="zh-CN"/>
        </w:rPr>
        <w:t>UE</w:t>
      </w:r>
      <w:r>
        <w:rPr>
          <w:lang w:eastAsia="zh-CN"/>
        </w:rPr>
        <w:noBreakHyphen/>
      </w:r>
      <w:r>
        <w:rPr>
          <w:lang w:eastAsia="zh-CN"/>
        </w:rPr>
        <w:t>assisted CSI sub</w:t>
      </w:r>
      <w:r>
        <w:rPr>
          <w:lang w:eastAsia="zh-CN"/>
        </w:rPr>
        <w:noBreakHyphen/>
      </w:r>
      <w:r>
        <w:rPr>
          <w:lang w:eastAsia="zh-CN"/>
        </w:rPr>
        <w:t>reports are designed</w:t>
      </w:r>
      <w:r>
        <w:rPr>
          <w:rFonts w:hint="eastAsia"/>
          <w:lang w:eastAsia="zh-CN"/>
        </w:rPr>
        <w:t xml:space="preserve"> to support </w:t>
      </w:r>
      <w:r>
        <w:rPr>
          <w:lang w:eastAsia="zh-CN"/>
        </w:rPr>
        <w:t>scale arrays down</w:t>
      </w:r>
      <w:r>
        <w:rPr>
          <w:rFonts w:hint="eastAsia"/>
          <w:lang w:eastAsia="zh-CN"/>
        </w:rPr>
        <w:t xml:space="preserve">. </w:t>
      </w:r>
      <w:r>
        <w:rPr>
          <w:lang w:eastAsia="zh-CN"/>
        </w:rPr>
        <w:t>In parallel, Rel‑19 look</w:t>
      </w:r>
      <w:r>
        <w:rPr>
          <w:rFonts w:hint="eastAsia"/>
          <w:lang w:eastAsia="zh-CN"/>
        </w:rPr>
        <w:t>s</w:t>
      </w:r>
      <w:r>
        <w:rPr>
          <w:lang w:eastAsia="zh-CN"/>
        </w:rPr>
        <w:t xml:space="preserve"> at adapting PRACH/SSB in the spatial domain, reducing “always‑on” beam overhead in sparse traffic.</w:t>
      </w:r>
      <w:r>
        <w:rPr>
          <w:rFonts w:hint="eastAsia"/>
          <w:lang w:eastAsia="zh-CN"/>
        </w:rPr>
        <w:t xml:space="preserve"> </w:t>
      </w:r>
      <w:r>
        <w:rPr>
          <w:lang w:eastAsia="zh-CN"/>
        </w:rPr>
        <w:t xml:space="preserve">Both mechanisms avoid </w:t>
      </w:r>
      <w:r>
        <w:rPr>
          <w:rFonts w:hint="eastAsia"/>
          <w:lang w:eastAsia="zh-CN"/>
        </w:rPr>
        <w:t>turn on all</w:t>
      </w:r>
      <w:r>
        <w:rPr>
          <w:lang w:eastAsia="zh-CN"/>
        </w:rPr>
        <w:t xml:space="preserve"> antennas</w:t>
      </w:r>
      <w:r>
        <w:rPr>
          <w:rFonts w:hint="eastAsia"/>
          <w:lang w:eastAsia="zh-CN"/>
        </w:rPr>
        <w:t xml:space="preserve"> </w:t>
      </w:r>
      <w:r>
        <w:rPr>
          <w:lang w:eastAsia="zh-CN"/>
        </w:rPr>
        <w:t>when only a subset is</w:t>
      </w:r>
      <w:r>
        <w:rPr>
          <w:rFonts w:hint="eastAsia"/>
          <w:lang w:eastAsia="zh-CN"/>
        </w:rPr>
        <w:t xml:space="preserve"> sufficient</w:t>
      </w:r>
      <w:r>
        <w:rPr>
          <w:lang w:eastAsia="zh-CN"/>
        </w:rPr>
        <w:t>.</w:t>
      </w:r>
      <w:r>
        <w:rPr>
          <w:rFonts w:hint="eastAsia"/>
          <w:lang w:eastAsia="zh-CN"/>
        </w:rPr>
        <w:t xml:space="preserve"> </w:t>
      </w:r>
      <w:r>
        <w:rPr>
          <w:lang w:eastAsia="zh-CN"/>
        </w:rPr>
        <w:t>Additionally</w:t>
      </w:r>
      <w:r>
        <w:rPr>
          <w:rFonts w:hint="eastAsia"/>
          <w:lang w:eastAsia="zh-CN"/>
        </w:rPr>
        <w:t xml:space="preserve">, </w:t>
      </w:r>
      <w:r>
        <w:rPr>
          <w:lang w:eastAsia="zh-CN"/>
        </w:rPr>
        <w:t>TRP muting for multi</w:t>
      </w:r>
      <w:r>
        <w:rPr>
          <w:lang w:eastAsia="zh-CN"/>
        </w:rPr>
        <w:noBreakHyphen/>
      </w:r>
      <w:r>
        <w:rPr>
          <w:lang w:eastAsia="zh-CN"/>
        </w:rPr>
        <w:t>TRP operation</w:t>
      </w:r>
      <w:r>
        <w:rPr>
          <w:rFonts w:hint="eastAsia"/>
          <w:lang w:eastAsia="zh-CN"/>
        </w:rPr>
        <w:t xml:space="preserve"> is also a technique to improve energy efficiency. </w:t>
      </w:r>
    </w:p>
    <w:p w14:paraId="4A2C13B9">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19</w:t>
      </w:r>
      <w:r>
        <w:rPr>
          <w:rFonts w:hint="default" w:ascii="Times New Roman Bold Italic" w:hAnsi="Times New Roman Bold Italic" w:cs="Times New Roman Bold Italic"/>
          <w:b/>
          <w:bCs/>
          <w:i/>
          <w:iCs/>
          <w:lang w:eastAsia="zh-CN"/>
        </w:rPr>
        <w:t>: Energy improvement in spatial domain would be achieved by fewer active panels/Rx chains and fewer active beams on the UE and fewer ports/elements, muted TxRUs, fewer beams, and muted TRPs on the base station.</w:t>
      </w:r>
    </w:p>
    <w:p w14:paraId="7AC4DB41">
      <w:pPr>
        <w:rPr>
          <w:rFonts w:hint="default"/>
          <w:lang w:val="en-US" w:eastAsia="zh-CN"/>
        </w:rPr>
      </w:pPr>
    </w:p>
    <w:p w14:paraId="4A996239">
      <w:pPr>
        <w:pStyle w:val="4"/>
        <w:numPr>
          <w:ilvl w:val="2"/>
          <w:numId w:val="0"/>
        </w:numPr>
        <w:tabs>
          <w:tab w:val="left" w:pos="576"/>
          <w:tab w:val="clear" w:pos="432"/>
          <w:tab w:val="clear" w:pos="720"/>
        </w:tabs>
        <w:ind w:leftChars="100"/>
        <w:outlineLvl w:val="2"/>
        <w:rPr>
          <w:rFonts w:hint="default"/>
          <w:lang w:val="en-US" w:eastAsia="zh-CN"/>
        </w:rPr>
      </w:pPr>
      <w:r>
        <w:rPr>
          <w:rFonts w:hint="eastAsia"/>
          <w:lang w:val="en-US" w:eastAsia="zh-CN"/>
        </w:rPr>
        <w:t>4.3.4</w:t>
      </w:r>
      <w:r>
        <w:rPr>
          <w:rFonts w:hint="default"/>
          <w:lang w:val="en-US" w:eastAsia="zh-CN"/>
        </w:rPr>
        <w:t xml:space="preserve"> Power domain transmission</w:t>
      </w:r>
    </w:p>
    <w:p w14:paraId="0AE3F162">
      <w:pPr>
        <w:ind w:firstLine="220" w:firstLineChars="100"/>
        <w:rPr>
          <w:rFonts w:hint="default"/>
          <w:lang w:val="en-US" w:eastAsia="zh-CN"/>
        </w:rPr>
      </w:pPr>
      <w:r>
        <w:rPr>
          <w:rFonts w:hint="default"/>
          <w:lang w:val="en-US" w:eastAsia="zh-CN"/>
        </w:rPr>
        <w:t>6G targets step-change improvements in energy efficiency by addressing how transmit power is generated, controlled, and shaped at both the base station and user equipment levels.</w:t>
      </w:r>
    </w:p>
    <w:p w14:paraId="6AA1CE29">
      <w:pPr>
        <w:numPr>
          <w:ilvl w:val="0"/>
          <w:numId w:val="18"/>
        </w:numPr>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PA Efficiency as a Core Metric</w:t>
      </w:r>
    </w:p>
    <w:p w14:paraId="178274E2">
      <w:pPr>
        <w:rPr>
          <w:rFonts w:hint="eastAsia"/>
          <w:lang w:val="en-US" w:eastAsia="zh-CN"/>
        </w:rPr>
      </w:pPr>
      <w:r>
        <w:rPr>
          <w:rFonts w:hint="default"/>
          <w:lang w:val="en-US" w:eastAsia="zh-CN"/>
        </w:rPr>
        <w:t>PAs remain the dominant energy consumer in the RF chain. 6G should push power-added efficiency well beyond 5G levels, especially at high frequencies (FR3 and above) where efficiency naturally drops. For BSs, GaN, advanced Doherty, and dynamic supply modulation including symbol-level tracking can sustain high efficiency across wide bandwidths and varying loads. For UEs, refined envelope tracking and PA modules tailored for new bands can extend battery life. High efficiency over a broad dynamic range reduces wasted heat and supports sustainable operation.</w:t>
      </w:r>
      <w:r>
        <w:rPr>
          <w:rFonts w:hint="eastAsia"/>
          <w:lang w:val="en-US" w:eastAsia="zh-CN"/>
        </w:rPr>
        <w:t xml:space="preserve"> </w:t>
      </w:r>
    </w:p>
    <w:p w14:paraId="7E307F56">
      <w:pPr>
        <w:rPr>
          <w:rFonts w:hint="default"/>
          <w:lang w:val="en-US" w:eastAsia="zh-CN"/>
        </w:rPr>
      </w:pPr>
      <w:r>
        <w:rPr>
          <w:rFonts w:hint="default"/>
          <w:lang w:val="en-US" w:eastAsia="zh-CN"/>
        </w:rPr>
        <w:t>High-PAPR waveforms like OFDM force large PA back-off, lowering efficiency. 6G should promote low-PAPR designs, e.g., DFT-spread OFDM in more links, constant-envelope or continuous-phase modulation for low-power modes, and advanced PAPR reduction techniques. Lower PAPR enables PAs to run closer to saturation, directly improving bits/Joule, especially critical for battery-powered UEs and high-frequency BS transmitters.</w:t>
      </w:r>
    </w:p>
    <w:p w14:paraId="056FF3F9">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val="en-US" w:eastAsia="zh-CN"/>
        </w:rPr>
        <w:t>: Lower PAPR enables PAs to run closer to saturation, directly improving</w:t>
      </w:r>
      <w:r>
        <w:rPr>
          <w:rFonts w:hint="eastAsia" w:ascii="Times New Roman Bold Italic" w:hAnsi="Times New Roman Bold Italic" w:cs="Times New Roman Bold Italic"/>
          <w:b/>
          <w:bCs/>
          <w:i/>
          <w:iCs/>
          <w:lang w:val="en-US" w:eastAsia="zh-CN"/>
        </w:rPr>
        <w:t xml:space="preserve"> </w:t>
      </w:r>
      <w:r>
        <w:rPr>
          <w:rFonts w:hint="default" w:ascii="Times New Roman Bold Italic" w:hAnsi="Times New Roman Bold Italic" w:cs="Times New Roman Bold Italic"/>
          <w:b/>
          <w:bCs/>
          <w:i/>
          <w:iCs/>
          <w:lang w:val="en-US" w:eastAsia="zh-CN"/>
        </w:rPr>
        <w:t>energy efficiency (bits/J), especially critical for battery-powered UEs and high-frequency BS transmitters.</w:t>
      </w:r>
    </w:p>
    <w:p w14:paraId="320E865A">
      <w:pPr>
        <w:numPr>
          <w:ilvl w:val="0"/>
          <w:numId w:val="18"/>
        </w:numPr>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Smarter Power Control and Dynamic Transmission</w:t>
      </w:r>
    </w:p>
    <w:p w14:paraId="5C402D86">
      <w:pPr>
        <w:rPr>
          <w:rFonts w:hint="default"/>
          <w:lang w:val="en-US" w:eastAsia="zh-CN"/>
        </w:rPr>
      </w:pPr>
      <w:r>
        <w:rPr>
          <w:rFonts w:hint="default"/>
          <w:lang w:val="en-US" w:eastAsia="zh-CN"/>
        </w:rPr>
        <w:t>Dynamic, context-aware power control will avoid over-provisioning transmit power. BSs can adapt power per beam/user, deactivate antennas, and coordinate across cells to minimize total radiated power. UEs can fine-tune uplink power to just meet link quality targets. AI-assisted control can forecast traffic and channel conditions</w:t>
      </w:r>
      <w:r>
        <w:rPr>
          <w:rFonts w:hint="eastAsia"/>
          <w:lang w:val="en-US" w:eastAsia="zh-CN"/>
        </w:rPr>
        <w:t xml:space="preserve"> </w:t>
      </w:r>
      <w:r>
        <w:rPr>
          <w:rFonts w:hint="default"/>
          <w:lang w:val="en-US" w:eastAsia="zh-CN"/>
        </w:rPr>
        <w:t>(e.g., CSI), scheduling transmissions when lower power suffices, thereby reducing interference and extending device runtime.</w:t>
      </w:r>
    </w:p>
    <w:p w14:paraId="11562D64">
      <w:pPr>
        <w:rPr>
          <w:rFonts w:hint="default"/>
          <w:lang w:val="en-US" w:eastAsia="zh-CN"/>
        </w:rPr>
      </w:pPr>
      <w:r>
        <w:rPr>
          <w:rFonts w:hint="default"/>
          <w:lang w:val="en-US" w:eastAsia="zh-CN"/>
        </w:rPr>
        <w:t>In addition, building on 5G’s lean design, 6G could expand deep sleep for both BS and UE PAs, shutting down circuits during idle periods. Wake-up receivers and low-power trigger signals allow rapid reactivation with minimal overhead. This maximizes “off” time without degrading responsiveness, a key factor in lowering average energy consumption.</w:t>
      </w:r>
    </w:p>
    <w:p w14:paraId="3B7C74FB">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21</w:t>
      </w:r>
      <w:r>
        <w:rPr>
          <w:rFonts w:hint="default" w:ascii="Times New Roman Bold Italic" w:hAnsi="Times New Roman Bold Italic" w:cs="Times New Roman Bold Italic"/>
          <w:b/>
          <w:bCs/>
          <w:i/>
          <w:iCs/>
          <w:lang w:val="en-US" w:eastAsia="zh-CN"/>
        </w:rPr>
        <w:t>: AI-assisted control and expanded deep sleep for both BS and UE PAs, could have some benefits of reducing interference and extending device runtime.</w:t>
      </w:r>
    </w:p>
    <w:p w14:paraId="09B6E15B">
      <w:pPr>
        <w:numPr>
          <w:ilvl w:val="0"/>
          <w:numId w:val="18"/>
        </w:numPr>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Linearity vs. Efficiency Trade-offs</w:t>
      </w:r>
    </w:p>
    <w:p w14:paraId="41FC9C83">
      <w:pPr>
        <w:rPr>
          <w:rFonts w:hint="default"/>
          <w:lang w:val="en-US" w:eastAsia="zh-CN"/>
        </w:rPr>
      </w:pPr>
      <w:r>
        <w:rPr>
          <w:rFonts w:hint="default"/>
          <w:lang w:val="en-US" w:eastAsia="zh-CN"/>
        </w:rPr>
        <w:t>Strict EVM and ACLR requirements protect signal quality and adjacent channels but constrain PA efficiency. 6G could adopt adaptive emission masks and context-based EVM targets, allowing more non-linearity (and thus higher efficiency) when interference risk is low or modulation order is modest. This requires careful standardization to prevent harmful emissions.</w:t>
      </w:r>
    </w:p>
    <w:p w14:paraId="7874714D">
      <w:pPr>
        <w:rPr>
          <w:rFonts w:hint="default"/>
          <w:lang w:val="en-US" w:eastAsia="zh-CN"/>
        </w:rPr>
      </w:pPr>
      <w:r>
        <w:rPr>
          <w:rFonts w:hint="default"/>
          <w:lang w:val="en-US" w:eastAsia="zh-CN"/>
        </w:rPr>
        <w:t xml:space="preserve">RAN4 will be central in defining power classes, emission masks, and possibly new energy KPIs (e.g., Joules/bit, W/user). Power classes may expand to cover </w:t>
      </w:r>
      <w:r>
        <w:rPr>
          <w:rFonts w:hint="eastAsia"/>
          <w:lang w:val="en-US" w:eastAsia="zh-CN"/>
        </w:rPr>
        <w:t>LPWA devices</w:t>
      </w:r>
      <w:r>
        <w:rPr>
          <w:rFonts w:hint="default"/>
          <w:lang w:val="en-US" w:eastAsia="zh-CN"/>
        </w:rPr>
        <w:t xml:space="preserve"> and high-power specialized UEs, with efficiency benchmarks. Standards can also formalize signaling for network-controlled sleep/wake and dynamic RF parameter adjustment for energy savings.</w:t>
      </w:r>
    </w:p>
    <w:p w14:paraId="2595F1D4">
      <w:pPr>
        <w:rPr>
          <w:rFonts w:hint="default"/>
          <w:lang w:val="en-US" w:eastAsia="zh-CN"/>
        </w:rPr>
      </w:pPr>
      <w:r>
        <w:rPr>
          <w:rFonts w:hint="eastAsia"/>
          <w:b/>
          <w:bCs/>
          <w:i/>
          <w:iCs/>
          <w:lang w:val="en-US" w:eastAsia="zh-CN"/>
        </w:rPr>
        <w:t>Observation 22：Adaptive emi</w:t>
      </w:r>
      <w:r>
        <w:rPr>
          <w:rFonts w:hint="default"/>
          <w:b/>
          <w:bCs/>
          <w:i/>
          <w:iCs/>
          <w:lang w:val="en-US" w:eastAsia="zh-CN"/>
        </w:rPr>
        <w:t xml:space="preserve">ssion masks and context-based EVM can allow more non-linearity and thus higher efficiency. Also, power classes may expand to cover </w:t>
      </w:r>
      <w:r>
        <w:rPr>
          <w:rFonts w:hint="eastAsia"/>
          <w:b/>
          <w:bCs/>
          <w:i/>
          <w:iCs/>
          <w:lang w:val="en-US" w:eastAsia="zh-CN"/>
        </w:rPr>
        <w:t>LPWA devices</w:t>
      </w:r>
      <w:r>
        <w:rPr>
          <w:rFonts w:hint="default"/>
          <w:b/>
          <w:bCs/>
          <w:i/>
          <w:iCs/>
          <w:lang w:val="en-US" w:eastAsia="zh-CN"/>
        </w:rPr>
        <w:t xml:space="preserve"> and high-power specialized UEs, with efficiency benchmarks.</w:t>
      </w:r>
    </w:p>
    <w:p w14:paraId="6E16776D">
      <w:pPr>
        <w:rPr>
          <w:rFonts w:hint="default"/>
          <w:lang w:val="en-US" w:eastAsia="zh-CN"/>
        </w:rPr>
      </w:pPr>
      <w:r>
        <w:rPr>
          <w:rFonts w:hint="default"/>
          <w:lang w:val="en-US" w:eastAsia="zh-CN"/>
        </w:rPr>
        <w:t>By combining hardware innovation, waveform design, intelligent control, and supportive standards, 6G can achieve its performance ambitions while sharply improving sustainability.</w:t>
      </w:r>
    </w:p>
    <w:p w14:paraId="1E209557">
      <w:pPr>
        <w:rPr>
          <w:rFonts w:hint="default"/>
          <w:lang w:val="en-US" w:eastAsia="zh-CN"/>
        </w:rPr>
      </w:pPr>
      <w:r>
        <w:rPr>
          <w:rFonts w:hint="default"/>
          <w:b/>
          <w:bCs/>
          <w:i/>
          <w:iCs/>
          <w:lang w:val="en-US" w:eastAsia="zh-CN"/>
        </w:rPr>
        <w:t xml:space="preserve">Proposal </w:t>
      </w:r>
      <w:r>
        <w:rPr>
          <w:rFonts w:hint="eastAsia"/>
          <w:b/>
          <w:bCs/>
          <w:i/>
          <w:iCs/>
          <w:lang w:val="en-US" w:eastAsia="zh-CN"/>
        </w:rPr>
        <w:t>7</w:t>
      </w:r>
      <w:r>
        <w:rPr>
          <w:rFonts w:hint="default"/>
          <w:b/>
          <w:bCs/>
          <w:i/>
          <w:iCs/>
          <w:lang w:val="en-US" w:eastAsia="zh-CN"/>
        </w:rPr>
        <w:t>: Discuss potential power domain transmission technologies to improve sustainability in 6G day 1, at least including lower PAPR considerations</w:t>
      </w:r>
      <w:r>
        <w:rPr>
          <w:rFonts w:hint="default" w:ascii="Times New Roman" w:hAnsi="Times New Roman" w:eastAsia="宋体" w:cs="Times New Roman"/>
          <w:b/>
          <w:bCs/>
          <w:i/>
          <w:iCs/>
          <w:lang w:val="en-US" w:eastAsia="zh-CN"/>
        </w:rPr>
        <w:t xml:space="preserve">, power control considerations, AI-assisted control and expanded deep sleep for both BS and UE PAs, </w:t>
      </w:r>
      <w:r>
        <w:rPr>
          <w:rFonts w:hint="default"/>
          <w:b/>
          <w:bCs/>
          <w:i/>
          <w:iCs/>
          <w:lang w:val="en-US" w:eastAsia="zh-CN"/>
        </w:rPr>
        <w:t>a</w:t>
      </w:r>
      <w:r>
        <w:rPr>
          <w:rFonts w:hint="eastAsia"/>
          <w:b/>
          <w:bCs/>
          <w:i/>
          <w:iCs/>
          <w:lang w:val="en-US" w:eastAsia="zh-CN"/>
        </w:rPr>
        <w:t>daptive emi</w:t>
      </w:r>
      <w:r>
        <w:rPr>
          <w:rFonts w:hint="default"/>
          <w:b/>
          <w:bCs/>
          <w:i/>
          <w:iCs/>
          <w:lang w:val="en-US" w:eastAsia="zh-CN"/>
        </w:rPr>
        <w:t>ssion masks and context-based EVM in RAN 1.</w:t>
      </w:r>
    </w:p>
    <w:p w14:paraId="78FC45C8">
      <w:pPr>
        <w:pStyle w:val="3"/>
        <w:rPr>
          <w:rFonts w:hint="default"/>
          <w:lang w:val="en-US" w:eastAsia="zh-CN"/>
        </w:rPr>
      </w:pPr>
      <w:r>
        <w:rPr>
          <w:rFonts w:hint="default"/>
          <w:lang w:val="en-US" w:eastAsia="zh-CN"/>
        </w:rPr>
        <w:t xml:space="preserve">  </w:t>
      </w:r>
      <w:r>
        <w:rPr>
          <w:rFonts w:hint="eastAsia"/>
          <w:lang w:val="en-US" w:eastAsia="zh-CN"/>
        </w:rPr>
        <w:t>L</w:t>
      </w:r>
      <w:r>
        <w:rPr>
          <w:rFonts w:hint="default"/>
          <w:lang w:val="en-US" w:eastAsia="zh-CN"/>
        </w:rPr>
        <w:t>ow-power</w:t>
      </w:r>
      <w:r>
        <w:rPr>
          <w:rFonts w:hint="eastAsia"/>
          <w:lang w:val="en-US" w:eastAsia="zh-CN"/>
        </w:rPr>
        <w:t xml:space="preserve"> signal transmission</w:t>
      </w:r>
    </w:p>
    <w:p w14:paraId="004EF6EE">
      <w:pPr>
        <w:numPr>
          <w:ilvl w:val="0"/>
          <w:numId w:val="0"/>
        </w:numPr>
        <w:ind w:leftChars="0"/>
        <w:outlineLvl w:val="9"/>
        <w:rPr>
          <w:rFonts w:hint="default"/>
          <w:b w:val="0"/>
          <w:bCs w:val="0"/>
          <w:lang w:val="en-US" w:eastAsia="zh-CN"/>
        </w:rPr>
      </w:pPr>
      <w:r>
        <w:rPr>
          <w:rFonts w:hint="default"/>
          <w:b w:val="0"/>
          <w:bCs w:val="0"/>
          <w:lang w:val="en-US" w:eastAsia="zh-CN"/>
        </w:rPr>
        <w:t>We have discussed WUS/LP-WUS/LP-SS design in section 2. Based on existing WUS/LP-WUS/LP-SS design,</w:t>
      </w:r>
      <w:r>
        <w:rPr>
          <w:rFonts w:hint="eastAsia"/>
          <w:b w:val="0"/>
          <w:bCs w:val="0"/>
          <w:lang w:val="en-US" w:eastAsia="zh-CN"/>
        </w:rPr>
        <w:t xml:space="preserve"> </w:t>
      </w:r>
      <w:r>
        <w:rPr>
          <w:rFonts w:hint="default"/>
          <w:b w:val="0"/>
          <w:bCs w:val="0"/>
          <w:lang w:val="en-US" w:eastAsia="zh-CN"/>
        </w:rPr>
        <w:t>here we continue discussing other aspects considerations of LP signal transmission on 6G day 1.</w:t>
      </w:r>
    </w:p>
    <w:p w14:paraId="66E5FEA1">
      <w:pPr>
        <w:numPr>
          <w:ilvl w:val="0"/>
          <w:numId w:val="0"/>
        </w:numPr>
        <w:ind w:leftChars="0"/>
        <w:outlineLvl w:val="9"/>
        <w:rPr>
          <w:rFonts w:hint="default"/>
          <w:b w:val="0"/>
          <w:bCs w:val="0"/>
          <w:lang w:val="en-US" w:eastAsia="zh-CN"/>
        </w:rPr>
      </w:pPr>
      <w:r>
        <w:rPr>
          <w:rFonts w:hint="default"/>
          <w:b w:val="0"/>
          <w:bCs w:val="0"/>
          <w:lang w:val="en-US" w:eastAsia="zh-CN"/>
        </w:rPr>
        <w:t>In 5G NR, specialized signals like WUS</w:t>
      </w:r>
      <w:r>
        <w:rPr>
          <w:rFonts w:hint="eastAsia"/>
          <w:b w:val="0"/>
          <w:bCs w:val="0"/>
          <w:lang w:val="en-US" w:eastAsia="zh-CN"/>
        </w:rPr>
        <w:t>/</w:t>
      </w:r>
      <w:r>
        <w:rPr>
          <w:rFonts w:hint="default"/>
          <w:b w:val="0"/>
          <w:bCs w:val="0"/>
          <w:lang w:val="en-US" w:eastAsia="zh-CN"/>
        </w:rPr>
        <w:t>LP-WUS</w:t>
      </w:r>
      <w:r>
        <w:rPr>
          <w:rFonts w:hint="eastAsia"/>
          <w:b w:val="0"/>
          <w:bCs w:val="0"/>
          <w:lang w:val="en-US" w:eastAsia="zh-CN"/>
        </w:rPr>
        <w:t>/</w:t>
      </w:r>
      <w:r>
        <w:rPr>
          <w:rFonts w:hint="default"/>
          <w:b w:val="0"/>
          <w:bCs w:val="0"/>
          <w:lang w:val="en-US" w:eastAsia="zh-CN"/>
        </w:rPr>
        <w:t>LP-SS were introduced to drastically reduce device power consumption. The design motivation</w:t>
      </w:r>
      <w:r>
        <w:rPr>
          <w:rFonts w:hint="eastAsia"/>
          <w:b w:val="0"/>
          <w:bCs w:val="0"/>
          <w:lang w:val="en-US" w:eastAsia="zh-CN"/>
        </w:rPr>
        <w:t xml:space="preserve"> of</w:t>
      </w:r>
      <w:r>
        <w:rPr>
          <w:rFonts w:hint="default"/>
          <w:b w:val="0"/>
          <w:bCs w:val="0"/>
          <w:lang w:val="en-US" w:eastAsia="zh-CN"/>
        </w:rPr>
        <w:t xml:space="preserve"> LP-WUS/LP-SS was to let a secondary WUR monitor for these simple signals while the main radio stays off, thus extending sleep periods without missing important messages. An LP-WUS is a brief, energy-detectable beacon that triggers the UE’s main radio only when a paging message is actually pending, avoiding continuous or frequent full receiver activation. Likewise, an LP-SS provides just enough reference for the WUR to maintain timing and perform cell measurements, allowing the main radio to remain in deep sleep. This mechanism enables significant power savings (on the order of ~80% in idle mode tests) while still meeting network reachability latency requirements. </w:t>
      </w:r>
    </w:p>
    <w:p w14:paraId="78DF0FBA">
      <w:pPr>
        <w:numPr>
          <w:ilvl w:val="0"/>
          <w:numId w:val="0"/>
        </w:numPr>
        <w:ind w:leftChars="0"/>
        <w:outlineLvl w:val="9"/>
        <w:rPr>
          <w:rFonts w:hint="default"/>
          <w:b w:val="0"/>
          <w:bCs w:val="0"/>
          <w:lang w:val="en-US" w:eastAsia="zh-CN"/>
        </w:rPr>
      </w:pPr>
      <w:r>
        <w:rPr>
          <w:rFonts w:hint="default"/>
          <w:b w:val="0"/>
          <w:bCs w:val="0"/>
          <w:lang w:val="en-US" w:eastAsia="zh-CN"/>
        </w:rPr>
        <w:t>In 6G, such low-power signal designs will be fundamental across diverse scenarios, e.g., from massive LPWA sensor networks and high-mobility devices (e.g. vehicles) to indoor smart environments and energy-efficient eMBB devices. These signals (e.g. LP-SS, LP-WUS, and specific LP channel) enable UE to spend most time in sleep or ultra-low-power states, yet wake promptly for data. This can extend battery lifetimes to years or even enable battery-free devices via energy harvesting. For instance, integrating WUS into 6G is estimated to cut UE modem energy use by ~35% in typical bursty traffic scenarios, allowing UEs to sleep between data packets with negligible impact on latency or user experience[19]. Accordingly, 6G is expected to natively support long DRX cycles and WUS from its first release, leveraging the 5G-Advanced WUR features (Rel-18/19) to benefit even high-capability devices operating in low-power modes as well as massive-scale LPWA.</w:t>
      </w:r>
    </w:p>
    <w:p w14:paraId="2A393952">
      <w:pPr>
        <w:rPr>
          <w:rFonts w:hint="default"/>
          <w:lang w:val="en-US" w:eastAsia="zh-CN"/>
        </w:rPr>
      </w:pPr>
      <w:r>
        <w:rPr>
          <w:rFonts w:hint="default"/>
          <w:lang w:val="en-US" w:eastAsia="zh-CN"/>
        </w:rPr>
        <w:t>However, several challenges remain in applying low-power signals to all 6G use cases</w:t>
      </w:r>
    </w:p>
    <w:p w14:paraId="6624D300">
      <w:pPr>
        <w:numPr>
          <w:ilvl w:val="0"/>
          <w:numId w:val="19"/>
        </w:numPr>
        <w:ind w:left="420" w:leftChars="0" w:hanging="420" w:firstLineChars="0"/>
        <w:rPr>
          <w:rFonts w:hint="default"/>
          <w:lang w:val="en-US" w:eastAsia="zh-CN"/>
        </w:rPr>
      </w:pPr>
      <w:r>
        <w:rPr>
          <w:rFonts w:hint="default"/>
          <w:lang w:val="en-US" w:eastAsia="zh-CN"/>
        </w:rPr>
        <w:t xml:space="preserve"> </w:t>
      </w:r>
      <w:r>
        <w:rPr>
          <w:rFonts w:hint="default" w:ascii="Times New Roman Bold" w:hAnsi="Times New Roman Bold" w:cs="Times New Roman Bold"/>
          <w:b/>
          <w:bCs/>
          <w:lang w:val="en-US" w:eastAsia="zh-CN"/>
        </w:rPr>
        <w:t>Coverage and Reliability</w:t>
      </w:r>
      <w:r>
        <w:rPr>
          <w:rFonts w:hint="default"/>
          <w:lang w:val="en-US" w:eastAsia="zh-CN"/>
        </w:rPr>
        <w:t xml:space="preserve">: Low-power signals must reliably reach devices in wide-area and deep-indoor scenarios. Ensuring this may require techniques like repetition or beamforming to boost link budget. The design must balance such enhancements with network overhead. Additionally, WUS should be selective to avoid false awakenings of non-target UEs – an issue addressed in 5G by subgroup-specific WUS sequences that 6G will need to refine for an even larger device population. </w:t>
      </w:r>
    </w:p>
    <w:p w14:paraId="57A17854">
      <w:pPr>
        <w:numPr>
          <w:ilvl w:val="0"/>
          <w:numId w:val="19"/>
        </w:numPr>
        <w:ind w:left="420" w:leftChars="0" w:hanging="420" w:firstLineChars="0"/>
        <w:rPr>
          <w:rFonts w:hint="default"/>
          <w:lang w:val="en-US" w:eastAsia="zh-CN"/>
        </w:rPr>
      </w:pPr>
      <w:r>
        <w:rPr>
          <w:rFonts w:hint="default" w:ascii="Times New Roman Bold" w:hAnsi="Times New Roman Bold" w:cs="Times New Roman Bold"/>
          <w:b/>
          <w:bCs/>
          <w:lang w:val="en-US" w:eastAsia="zh-CN"/>
        </w:rPr>
        <w:t>Overhead and Efficient Data Transfer</w:t>
      </w:r>
      <w:r>
        <w:rPr>
          <w:rFonts w:hint="default"/>
          <w:lang w:val="en-US" w:eastAsia="zh-CN"/>
        </w:rPr>
        <w:t xml:space="preserve">: Introducing new </w:t>
      </w:r>
      <w:r>
        <w:rPr>
          <w:rFonts w:hint="eastAsia"/>
          <w:lang w:val="en-US" w:eastAsia="zh-CN"/>
        </w:rPr>
        <w:t>LP-signal</w:t>
      </w:r>
      <w:r>
        <w:rPr>
          <w:rFonts w:hint="default"/>
          <w:lang w:val="en-US" w:eastAsia="zh-CN"/>
        </w:rPr>
        <w:t xml:space="preserve"> or LP-channel should not unduly increase network complexity or signaling overhead. 6G might adopt simplified or on-demand common signaling. Likewise, lean control and data channels for small packets could allow UEs to exchange brief information without a full connection setup. Such mechanisms would let sleeping UEs communicate opportunistically while minimizing active time.</w:t>
      </w:r>
    </w:p>
    <w:p w14:paraId="013E26F6">
      <w:pPr>
        <w:numPr>
          <w:ilvl w:val="0"/>
          <w:numId w:val="19"/>
        </w:numPr>
        <w:ind w:left="420" w:leftChars="0" w:hanging="420" w:firstLineChars="0"/>
        <w:rPr>
          <w:rFonts w:hint="default"/>
          <w:lang w:val="en-US" w:eastAsia="zh-CN"/>
        </w:rPr>
      </w:pPr>
      <w:r>
        <w:rPr>
          <w:rFonts w:hint="default" w:ascii="Times New Roman Bold" w:hAnsi="Times New Roman Bold" w:cs="Times New Roman Bold"/>
          <w:b/>
          <w:bCs/>
          <w:lang w:val="en-US" w:eastAsia="zh-CN"/>
        </w:rPr>
        <w:t>ISAC</w:t>
      </w:r>
      <w:r>
        <w:rPr>
          <w:rFonts w:hint="default"/>
          <w:lang w:val="en-US" w:eastAsia="zh-CN"/>
        </w:rPr>
        <w:t xml:space="preserve">: 6G’s push toward ISAC means some radio signals serve dual purposes. This dual use can be a double-edged sword for energy saving: if sensing requires frequent reference signals, it could force more periodic transmissions that wake BS or UE. A careful co-design is needed so that sensing waveforms are also WUR-friendly (or vice versa), maintaining the ultra-lean duty cycles. </w:t>
      </w:r>
    </w:p>
    <w:p w14:paraId="2B5ABFB9">
      <w:pPr>
        <w:rPr>
          <w:rFonts w:hint="default"/>
          <w:lang w:val="en-US" w:eastAsia="zh-CN"/>
        </w:rPr>
      </w:pPr>
      <w:r>
        <w:rPr>
          <w:rFonts w:hint="default"/>
          <w:lang w:val="en-US" w:eastAsia="zh-CN"/>
        </w:rPr>
        <w:t xml:space="preserve">Overall, focusing on FR1 and mid-band (FR3) frequencies for ubiquitous </w:t>
      </w:r>
      <w:r>
        <w:rPr>
          <w:rFonts w:hint="eastAsia"/>
          <w:lang w:val="en-US" w:eastAsia="zh-CN"/>
        </w:rPr>
        <w:t>LP</w:t>
      </w:r>
      <w:r>
        <w:rPr>
          <w:rFonts w:hint="default"/>
          <w:lang w:val="en-US" w:eastAsia="zh-CN"/>
        </w:rPr>
        <w:t xml:space="preserve"> signaling, while leveraging cross-band coordination for FR2, will help 6G networks serve a broad range of devices in an energy-efficient manner. </w:t>
      </w:r>
    </w:p>
    <w:p w14:paraId="1DC6E3E1">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23</w:t>
      </w:r>
      <w:r>
        <w:rPr>
          <w:rFonts w:hint="default" w:ascii="Times New Roman Bold Italic" w:hAnsi="Times New Roman Bold Italic" w:cs="Times New Roman Bold Italic"/>
          <w:b/>
          <w:bCs/>
          <w:i/>
          <w:iCs/>
          <w:lang w:val="en-US" w:eastAsia="zh-CN"/>
        </w:rPr>
        <w:t>: 6G is expected to natively support long DRX cycles and WUS from its first release, leveraging the 5G-Advanced WUR features (Rel-18/19) to benefit even high-capability devices operating in low-power modes as well as massive-scale LPWA.</w:t>
      </w:r>
    </w:p>
    <w:p w14:paraId="09D97B94">
      <w:pPr>
        <w:rPr>
          <w:rFonts w:hint="default" w:ascii="Times New Roman Bold Italic" w:hAnsi="Times New Roman Bold Italic" w:cs="Times New Roman Bold Italic"/>
          <w:b/>
          <w:bCs/>
          <w:i/>
          <w:iCs/>
          <w:lang w:val="en-US" w:eastAsia="zh-CN"/>
        </w:rPr>
      </w:pPr>
      <w:r>
        <w:rPr>
          <w:rFonts w:hint="eastAsia" w:ascii="Times New Roman Bold Italic" w:hAnsi="Times New Roman Bold Italic" w:cs="Times New Roman Bold Italic"/>
          <w:b/>
          <w:bCs/>
          <w:i/>
          <w:iCs/>
          <w:lang w:val="en-US" w:eastAsia="zh-CN"/>
        </w:rPr>
        <w:t>Observation 24：</w:t>
      </w:r>
      <w:r>
        <w:rPr>
          <w:rFonts w:hint="default" w:ascii="Times New Roman Bold Italic" w:hAnsi="Times New Roman Bold Italic" w:cs="Times New Roman Bold Italic"/>
          <w:b/>
          <w:bCs/>
          <w:i/>
          <w:iCs/>
          <w:lang w:val="en-US" w:eastAsia="zh-CN"/>
        </w:rPr>
        <w:t>Several challenges remain in applying low-power signals to all 6G use cases, e.g., coverage and reliability, overhead and efficient data transfer, ISAC related issues.</w:t>
      </w:r>
    </w:p>
    <w:p w14:paraId="6BC61327">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8</w:t>
      </w:r>
      <w:r>
        <w:rPr>
          <w:rFonts w:hint="default" w:ascii="Times New Roman Bold Italic" w:hAnsi="Times New Roman Bold Italic" w:cs="Times New Roman Bold Italic"/>
          <w:b/>
          <w:bCs/>
          <w:i/>
          <w:iCs/>
          <w:lang w:val="en-US" w:eastAsia="zh-CN"/>
        </w:rPr>
        <w:t>: Discuss whether/how to consider low-power signal design in 6G day 1 for 6G energy savings.</w:t>
      </w:r>
    </w:p>
    <w:p w14:paraId="293F71DA">
      <w:pPr>
        <w:pBdr>
          <w:bottom w:val="single" w:color="auto" w:sz="4" w:space="1"/>
        </w:pBdr>
        <w:spacing w:after="0"/>
        <w:jc w:val="left"/>
        <w:rPr>
          <w:b/>
          <w:kern w:val="2"/>
          <w:sz w:val="16"/>
          <w:szCs w:val="16"/>
          <w:lang w:eastAsia="zh-CN"/>
        </w:rPr>
      </w:pPr>
    </w:p>
    <w:p w14:paraId="74B8D9AC">
      <w:pPr>
        <w:pStyle w:val="2"/>
      </w:pPr>
      <w:r>
        <w:rPr>
          <w:rFonts w:hint="eastAsia"/>
          <w:lang w:val="en-US" w:eastAsia="zh-CN"/>
        </w:rPr>
        <w:t xml:space="preserve"> </w:t>
      </w:r>
      <w:r>
        <w:t>Conclusion</w:t>
      </w:r>
    </w:p>
    <w:p w14:paraId="57EDC9BB">
      <w:pPr>
        <w:numPr>
          <w:ilvl w:val="0"/>
          <w:numId w:val="0"/>
        </w:numPr>
        <w:rPr>
          <w:rFonts w:hint="default" w:eastAsia="等线"/>
          <w:i w:val="0"/>
          <w:iCs w:val="0"/>
          <w:lang w:val="en-US" w:eastAsia="zh-CN"/>
        </w:rPr>
      </w:pPr>
      <w:r>
        <w:t>In this contribution, we discuss</w:t>
      </w:r>
      <w:r>
        <w:rPr>
          <w:rFonts w:hint="default"/>
          <w:lang w:val="en-US"/>
        </w:rPr>
        <w:t>ed</w:t>
      </w:r>
      <w:r>
        <w:t xml:space="preserve"> </w:t>
      </w:r>
      <w:r>
        <w:rPr>
          <w:rFonts w:hint="eastAsia"/>
          <w:lang w:val="en-US" w:eastAsia="zh-CN"/>
        </w:rPr>
        <w:t>the</w:t>
      </w:r>
      <w:r>
        <w:rPr>
          <w:rFonts w:hint="default"/>
          <w:lang w:val="en-US" w:eastAsia="zh-CN"/>
        </w:rPr>
        <w:t xml:space="preserve"> </w:t>
      </w:r>
      <w:r>
        <w:rPr>
          <w:rFonts w:hint="eastAsia" w:eastAsia="等线"/>
          <w:i w:val="0"/>
          <w:iCs w:val="0"/>
          <w:lang w:eastAsia="zh-CN"/>
        </w:rPr>
        <w:t>background on energy-saving techniques from LTE through 5G</w:t>
      </w:r>
      <w:r>
        <w:rPr>
          <w:rFonts w:hint="default" w:eastAsia="等线"/>
          <w:i w:val="0"/>
          <w:iCs w:val="0"/>
          <w:lang w:val="en-US" w:eastAsia="zh-CN"/>
        </w:rPr>
        <w:t>, terminal types or terminal mode considerations to consider energy savings, and i</w:t>
      </w:r>
      <w:r>
        <w:rPr>
          <w:rFonts w:hint="eastAsia" w:eastAsia="等线"/>
          <w:i w:val="0"/>
          <w:iCs w:val="0"/>
          <w:lang w:eastAsia="zh-CN"/>
        </w:rPr>
        <w:t xml:space="preserve">dentified technical challenges and potential solutions for 6G in network, </w:t>
      </w:r>
      <w:r>
        <w:rPr>
          <w:rFonts w:hint="default" w:eastAsia="等线"/>
          <w:i w:val="0"/>
          <w:iCs w:val="0"/>
          <w:lang w:val="en-US" w:eastAsia="zh-CN"/>
        </w:rPr>
        <w:t>terminal</w:t>
      </w:r>
      <w:r>
        <w:rPr>
          <w:rFonts w:hint="eastAsia" w:eastAsia="等线"/>
          <w:i w:val="0"/>
          <w:iCs w:val="0"/>
          <w:lang w:eastAsia="zh-CN"/>
        </w:rPr>
        <w:t>, and collaborative domains.</w:t>
      </w:r>
      <w:r>
        <w:rPr>
          <w:rFonts w:hint="default" w:eastAsia="等线"/>
          <w:i w:val="0"/>
          <w:iCs w:val="0"/>
          <w:lang w:val="en-US" w:eastAsia="zh-CN"/>
        </w:rPr>
        <w:t xml:space="preserve"> </w:t>
      </w:r>
    </w:p>
    <w:p w14:paraId="0AE8D332">
      <w:pPr>
        <w:numPr>
          <w:ilvl w:val="0"/>
          <w:numId w:val="0"/>
        </w:numPr>
        <w:rPr>
          <w:rFonts w:hint="default" w:eastAsia="等线"/>
          <w:i w:val="0"/>
          <w:iCs w:val="0"/>
          <w:lang w:val="en-US" w:eastAsia="zh-CN"/>
        </w:rPr>
      </w:pPr>
    </w:p>
    <w:p w14:paraId="1A87AFF8">
      <w:pPr>
        <w:pStyle w:val="17"/>
        <w:rPr>
          <w:rFonts w:hint="default" w:ascii="Times New Roman Bold Italic" w:hAnsi="Times New Roman Bold Italic" w:cs="Times New Roman Bold Italic"/>
          <w:b/>
          <w:bCs/>
          <w:i/>
          <w:iCs/>
          <w:color w:val="auto"/>
          <w:sz w:val="22"/>
          <w:szCs w:val="22"/>
          <w:lang w:val="en-US"/>
        </w:rPr>
      </w:pPr>
      <w:r>
        <w:rPr>
          <w:rFonts w:hint="default" w:ascii="Times New Roman Bold Italic" w:hAnsi="Times New Roman Bold Italic" w:cs="Times New Roman Bold Italic"/>
          <w:b/>
          <w:bCs/>
          <w:i/>
          <w:iCs/>
          <w:color w:val="auto"/>
          <w:sz w:val="22"/>
          <w:szCs w:val="22"/>
          <w:lang w:val="en-US"/>
        </w:rPr>
        <w:t>Observation 1: At least three types of technologies have been specified for energy savings in LTE/LTE-A, including</w:t>
      </w:r>
    </w:p>
    <w:p w14:paraId="3EA32B45">
      <w:pPr>
        <w:pStyle w:val="17"/>
        <w:numPr>
          <w:ilvl w:val="0"/>
          <w:numId w:val="11"/>
        </w:numPr>
        <w:ind w:left="420" w:leftChars="0" w:hanging="420" w:firstLineChars="0"/>
        <w:rPr>
          <w:rFonts w:hint="default" w:ascii="Times New Roman Bold Italic" w:hAnsi="Times New Roman Bold Italic" w:cs="Times New Roman Bold Italic"/>
          <w:b/>
          <w:bCs/>
          <w:i/>
          <w:iCs/>
          <w:color w:val="auto"/>
          <w:sz w:val="22"/>
          <w:szCs w:val="22"/>
          <w:lang w:val="en-US"/>
        </w:rPr>
      </w:pPr>
      <w:r>
        <w:rPr>
          <w:rFonts w:hint="default" w:ascii="Times New Roman Bold Italic" w:hAnsi="Times New Roman Bold Italic" w:cs="Times New Roman Bold Italic"/>
          <w:b/>
          <w:bCs/>
          <w:i/>
          <w:iCs/>
          <w:color w:val="auto"/>
          <w:sz w:val="22"/>
          <w:szCs w:val="22"/>
          <w:lang w:val="en-US"/>
        </w:rPr>
        <w:t>DRX of terminal, including C-DRX/I-DRX</w:t>
      </w:r>
      <w:r>
        <w:rPr>
          <w:rFonts w:hint="eastAsia" w:ascii="Times New Roman Bold Italic" w:hAnsi="Times New Roman Bold Italic" w:cs="Times New Roman Bold Italic"/>
          <w:b/>
          <w:bCs/>
          <w:i/>
          <w:iCs/>
          <w:color w:val="auto"/>
          <w:sz w:val="22"/>
          <w:szCs w:val="22"/>
          <w:lang w:val="en-US" w:eastAsia="zh-CN"/>
        </w:rPr>
        <w:t>/eDRX</w:t>
      </w:r>
    </w:p>
    <w:p w14:paraId="4172B621">
      <w:pPr>
        <w:pStyle w:val="17"/>
        <w:numPr>
          <w:ilvl w:val="0"/>
          <w:numId w:val="11"/>
        </w:numPr>
        <w:ind w:left="420" w:leftChars="0" w:hanging="420" w:firstLineChars="0"/>
        <w:rPr>
          <w:rFonts w:hint="default" w:ascii="Times New Roman Bold Italic" w:hAnsi="Times New Roman Bold Italic" w:cs="Times New Roman Bold Italic"/>
          <w:b/>
          <w:bCs/>
          <w:i/>
          <w:iCs/>
          <w:color w:val="auto"/>
          <w:sz w:val="22"/>
          <w:szCs w:val="22"/>
          <w:lang w:val="en-US"/>
        </w:rPr>
      </w:pPr>
      <w:r>
        <w:rPr>
          <w:rFonts w:hint="default" w:ascii="Times New Roman Bold Italic" w:hAnsi="Times New Roman Bold Italic" w:cs="Times New Roman Bold Italic"/>
          <w:b/>
          <w:bCs/>
          <w:i/>
          <w:iCs/>
          <w:color w:val="auto"/>
          <w:sz w:val="22"/>
          <w:szCs w:val="22"/>
          <w:lang w:val="en-US"/>
        </w:rPr>
        <w:t>BS energy reduction, including dormant Cells</w:t>
      </w:r>
    </w:p>
    <w:p w14:paraId="7BD1132B">
      <w:pPr>
        <w:pStyle w:val="17"/>
        <w:numPr>
          <w:ilvl w:val="0"/>
          <w:numId w:val="11"/>
        </w:numPr>
        <w:ind w:left="420" w:leftChars="0" w:hanging="420" w:firstLineChars="0"/>
        <w:rPr>
          <w:rFonts w:hint="default" w:ascii="Times New Roman Bold Italic" w:hAnsi="Times New Roman Bold Italic" w:cs="Times New Roman Bold Italic"/>
          <w:b/>
          <w:bCs/>
          <w:i/>
          <w:iCs/>
          <w:color w:val="auto"/>
          <w:sz w:val="22"/>
          <w:szCs w:val="22"/>
          <w:lang w:val="en-US"/>
        </w:rPr>
      </w:pPr>
      <w:r>
        <w:rPr>
          <w:rFonts w:hint="default" w:ascii="Times New Roman Bold Italic" w:hAnsi="Times New Roman Bold Italic" w:cs="Times New Roman Bold Italic"/>
          <w:b/>
          <w:bCs/>
          <w:i/>
          <w:iCs/>
          <w:sz w:val="22"/>
          <w:szCs w:val="22"/>
        </w:rPr>
        <w:t>Extended Discontinuous Reception</w:t>
      </w:r>
      <w:r>
        <w:rPr>
          <w:rFonts w:hint="eastAsia" w:ascii="Times New Roman Bold Italic" w:hAnsi="Times New Roman Bold Italic" w:cs="Times New Roman Bold Italic"/>
          <w:b/>
          <w:bCs/>
          <w:i/>
          <w:iCs/>
          <w:sz w:val="22"/>
          <w:szCs w:val="22"/>
          <w:lang w:val="en-US" w:eastAsia="zh-CN"/>
        </w:rPr>
        <w:t xml:space="preserve"> or WUS design</w:t>
      </w:r>
      <w:r>
        <w:rPr>
          <w:rFonts w:hint="default" w:ascii="Times New Roman Bold Italic" w:hAnsi="Times New Roman Bold Italic" w:cs="Times New Roman Bold Italic"/>
          <w:b/>
          <w:bCs/>
          <w:i/>
          <w:iCs/>
          <w:sz w:val="22"/>
          <w:szCs w:val="22"/>
        </w:rPr>
        <w:t xml:space="preserve"> for IoT</w:t>
      </w:r>
      <w:r>
        <w:rPr>
          <w:rFonts w:hint="eastAsia" w:ascii="Times New Roman Bold Italic" w:hAnsi="Times New Roman Bold Italic" w:cs="Times New Roman Bold Italic"/>
          <w:b/>
          <w:bCs/>
          <w:i/>
          <w:iCs/>
          <w:sz w:val="22"/>
          <w:szCs w:val="22"/>
          <w:lang w:val="en-US" w:eastAsia="zh-CN"/>
        </w:rPr>
        <w:t xml:space="preserve"> devices</w:t>
      </w:r>
      <w:r>
        <w:rPr>
          <w:rFonts w:hint="default" w:ascii="Times New Roman Bold Italic" w:hAnsi="Times New Roman Bold Italic" w:cs="Times New Roman Bold Italic"/>
          <w:b/>
          <w:bCs/>
          <w:i/>
          <w:iCs/>
          <w:sz w:val="22"/>
          <w:szCs w:val="22"/>
          <w:lang w:val="en-US"/>
        </w:rPr>
        <w:t>, including eDRX or PSM</w:t>
      </w:r>
    </w:p>
    <w:p w14:paraId="5F36D359">
      <w:pPr>
        <w:rPr>
          <w:b/>
          <w:bCs/>
          <w:lang w:eastAsia="zh-CN"/>
        </w:rPr>
      </w:pPr>
    </w:p>
    <w:p w14:paraId="23B9FEB6">
      <w:pPr>
        <w:pStyle w:val="17"/>
        <w:rPr>
          <w:rFonts w:hint="default" w:ascii="Times New Roman Bold" w:hAnsi="Times New Roman Bold" w:cs="Times New Roman Bold"/>
          <w:b/>
          <w:bCs/>
          <w:i/>
          <w:iCs/>
          <w:color w:val="auto"/>
          <w:sz w:val="22"/>
          <w:szCs w:val="22"/>
          <w:lang w:val="en-US"/>
        </w:rPr>
      </w:pPr>
      <w:r>
        <w:rPr>
          <w:rFonts w:hint="default" w:ascii="Times New Roman Bold" w:hAnsi="Times New Roman Bold" w:cs="Times New Roman Bold"/>
          <w:b/>
          <w:bCs/>
          <w:i/>
          <w:iCs/>
          <w:color w:val="auto"/>
          <w:sz w:val="22"/>
          <w:szCs w:val="22"/>
          <w:lang w:val="en-US"/>
        </w:rPr>
        <w:t>Observation 2: At least four types of technologies have been specified for energy saving in NR/NRU, including</w:t>
      </w:r>
    </w:p>
    <w:p w14:paraId="199C26D0">
      <w:pPr>
        <w:pStyle w:val="17"/>
        <w:numPr>
          <w:ilvl w:val="0"/>
          <w:numId w:val="12"/>
        </w:numPr>
        <w:ind w:left="420" w:leftChars="0" w:hanging="420" w:firstLineChars="0"/>
        <w:rPr>
          <w:rFonts w:hint="default" w:ascii="Times New Roman Bold" w:hAnsi="Times New Roman Bold" w:cs="Times New Roman Bold"/>
          <w:b/>
          <w:bCs/>
          <w:i/>
          <w:iCs/>
          <w:color w:val="auto"/>
          <w:sz w:val="22"/>
          <w:szCs w:val="22"/>
          <w:lang w:val="en-US"/>
        </w:rPr>
      </w:pPr>
      <w:r>
        <w:rPr>
          <w:rFonts w:hint="default" w:ascii="Times New Roman Bold" w:hAnsi="Times New Roman Bold" w:cs="Times New Roman Bold"/>
          <w:b/>
          <w:bCs/>
          <w:i/>
          <w:iCs/>
          <w:color w:val="auto"/>
          <w:sz w:val="22"/>
          <w:szCs w:val="22"/>
          <w:lang w:val="en-US"/>
        </w:rPr>
        <w:t>BWP adaptive switching to consider the requirement of data rata/capacity/throughput and power savings</w:t>
      </w:r>
    </w:p>
    <w:p w14:paraId="0F1AD575">
      <w:pPr>
        <w:pStyle w:val="17"/>
        <w:numPr>
          <w:ilvl w:val="0"/>
          <w:numId w:val="12"/>
        </w:numPr>
        <w:ind w:left="420" w:leftChars="0" w:hanging="420" w:firstLineChars="0"/>
        <w:rPr>
          <w:rFonts w:hint="default" w:ascii="Times New Roman Bold" w:hAnsi="Times New Roman Bold" w:cs="Times New Roman Bold"/>
          <w:b/>
          <w:bCs/>
          <w:i/>
          <w:iCs/>
          <w:color w:val="auto"/>
          <w:sz w:val="22"/>
          <w:szCs w:val="22"/>
          <w:lang w:val="en-US"/>
        </w:rPr>
      </w:pPr>
      <w:r>
        <w:rPr>
          <w:b/>
          <w:bCs/>
          <w:i/>
          <w:iCs/>
          <w:color w:val="auto"/>
          <w:sz w:val="22"/>
          <w:szCs w:val="22"/>
        </w:rPr>
        <w:t>UE Power Saving Features in NR Rel 16–17</w:t>
      </w:r>
      <w:r>
        <w:rPr>
          <w:rFonts w:hint="default"/>
          <w:b/>
          <w:bCs/>
          <w:i/>
          <w:iCs/>
          <w:color w:val="auto"/>
          <w:sz w:val="22"/>
          <w:szCs w:val="22"/>
          <w:lang w:val="en-US"/>
        </w:rPr>
        <w:t xml:space="preserve">, including new RRC state considerations (e.g., inactive state), </w:t>
      </w:r>
      <w:r>
        <w:rPr>
          <w:rFonts w:hint="default" w:eastAsia="宋体"/>
          <w:b/>
          <w:bCs/>
          <w:i/>
          <w:iCs/>
          <w:color w:val="auto"/>
          <w:sz w:val="22"/>
          <w:szCs w:val="22"/>
          <w:lang w:val="en-US"/>
        </w:rPr>
        <w:t>WUS</w:t>
      </w:r>
      <w:r>
        <w:rPr>
          <w:rFonts w:hint="eastAsia" w:eastAsia="宋体"/>
          <w:b/>
          <w:bCs/>
          <w:i/>
          <w:iCs/>
          <w:color w:val="auto"/>
          <w:sz w:val="22"/>
          <w:szCs w:val="22"/>
          <w:lang w:val="en-US" w:eastAsia="zh-CN"/>
        </w:rPr>
        <w:t xml:space="preserve"> </w:t>
      </w:r>
      <w:r>
        <w:rPr>
          <w:rFonts w:hint="default" w:eastAsia="宋体"/>
          <w:b/>
          <w:bCs/>
          <w:i/>
          <w:iCs/>
          <w:color w:val="auto"/>
          <w:sz w:val="22"/>
          <w:szCs w:val="22"/>
          <w:lang w:val="en-US"/>
        </w:rPr>
        <w:t xml:space="preserve">(via a special DCI) </w:t>
      </w:r>
      <w:r>
        <w:rPr>
          <w:rFonts w:hint="default"/>
          <w:b/>
          <w:bCs/>
          <w:i/>
          <w:iCs/>
          <w:color w:val="auto"/>
          <w:sz w:val="22"/>
          <w:szCs w:val="22"/>
          <w:lang w:val="en-US"/>
        </w:rPr>
        <w:t>and LP-WUS design, connected mode enhancements, MICO, etc.</w:t>
      </w:r>
    </w:p>
    <w:p w14:paraId="237ADDD9">
      <w:pPr>
        <w:pStyle w:val="17"/>
        <w:numPr>
          <w:ilvl w:val="0"/>
          <w:numId w:val="12"/>
        </w:numPr>
        <w:ind w:left="420" w:leftChars="0" w:hanging="420" w:firstLineChars="0"/>
        <w:rPr>
          <w:rFonts w:hint="default" w:ascii="Times New Roman Bold" w:hAnsi="Times New Roman Bold" w:cs="Times New Roman Bold"/>
          <w:b/>
          <w:bCs/>
          <w:i/>
          <w:iCs/>
          <w:color w:val="auto"/>
          <w:sz w:val="22"/>
          <w:szCs w:val="22"/>
          <w:lang w:val="en-US"/>
        </w:rPr>
      </w:pPr>
      <w:r>
        <w:rPr>
          <w:rFonts w:hint="default" w:ascii="Times New Roman Bold" w:hAnsi="Times New Roman Bold" w:cs="Times New Roman Bold"/>
          <w:b/>
          <w:bCs/>
          <w:i/>
          <w:iCs/>
          <w:color w:val="auto"/>
          <w:sz w:val="22"/>
          <w:szCs w:val="22"/>
          <w:lang w:val="en-US"/>
        </w:rPr>
        <w:t>RedCap and eRedCap considerations</w:t>
      </w:r>
    </w:p>
    <w:p w14:paraId="5F140D3F">
      <w:pPr>
        <w:pStyle w:val="17"/>
        <w:numPr>
          <w:ilvl w:val="0"/>
          <w:numId w:val="12"/>
        </w:numPr>
        <w:ind w:left="420" w:leftChars="0" w:hanging="420" w:firstLineChars="0"/>
        <w:rPr>
          <w:rFonts w:hint="default" w:ascii="Times New Roman Bold" w:hAnsi="Times New Roman Bold" w:cs="Times New Roman Bold"/>
          <w:b/>
          <w:bCs/>
          <w:i/>
          <w:iCs/>
          <w:color w:val="auto"/>
          <w:sz w:val="22"/>
          <w:szCs w:val="22"/>
          <w:lang w:val="en-US"/>
        </w:rPr>
      </w:pPr>
      <w:r>
        <w:rPr>
          <w:rFonts w:hint="default" w:ascii="Times New Roman Bold" w:hAnsi="Times New Roman Bold" w:cs="Times New Roman Bold"/>
          <w:b/>
          <w:bCs/>
          <w:i/>
          <w:iCs/>
          <w:color w:val="auto"/>
          <w:sz w:val="22"/>
          <w:szCs w:val="22"/>
          <w:lang w:val="en-US"/>
        </w:rPr>
        <w:t xml:space="preserve">NES considerations, including on-demand transmission, common signal adaptation, frequency-domain/spatial-domain/power-domain technologies, etc. </w:t>
      </w:r>
    </w:p>
    <w:p w14:paraId="4116C6B9">
      <w:pPr>
        <w:rPr>
          <w:b/>
          <w:bCs/>
          <w:lang w:eastAsia="zh-CN"/>
        </w:rPr>
      </w:pPr>
    </w:p>
    <w:p w14:paraId="36AD083B">
      <w:pPr>
        <w:keepNext w:val="0"/>
        <w:keepLines w:val="0"/>
        <w:widowControl/>
        <w:suppressLineNumbers w:val="0"/>
        <w:jc w:val="both"/>
        <w:rPr>
          <w:rFonts w:hint="default" w:ascii="Times New Roman Bold Italic" w:hAnsi="Times New Roman Bold Italic" w:cs="Times New Roman Bold Italic"/>
          <w:i/>
          <w:iCs/>
          <w:lang w:val="en-US" w:eastAsia="zh-CN"/>
        </w:rPr>
      </w:pPr>
      <w:r>
        <w:rPr>
          <w:rFonts w:hint="default" w:ascii="Times New Roman Bold Italic" w:hAnsi="Times New Roman Bold Italic" w:cs="Times New Roman Bold Italic"/>
          <w:b/>
          <w:bCs/>
          <w:i/>
          <w:iCs/>
          <w:color w:val="auto"/>
          <w:lang w:val="en-US"/>
        </w:rPr>
        <w:t xml:space="preserve">Observation 3: 3GPP has discussed different terminal types in terms of power consumption characteristics, functional capabilities, and physical-layer air interface technologies including </w:t>
      </w:r>
      <w:r>
        <w:rPr>
          <w:rFonts w:hint="default" w:ascii="Times New Roman Bold Italic" w:hAnsi="Times New Roman Bold Italic" w:eastAsia="宋体" w:cs="Times New Roman Bold Italic"/>
          <w:b/>
          <w:bCs/>
          <w:i/>
          <w:iCs/>
          <w:color w:val="auto"/>
          <w:lang w:val="en-US"/>
        </w:rPr>
        <w:t xml:space="preserve">NB-IoT, LTE Cat-M1, NR </w:t>
      </w:r>
      <w:r>
        <w:rPr>
          <w:rFonts w:hint="default" w:ascii="Times New Roman Bold Italic" w:hAnsi="Times New Roman Bold Italic" w:cs="Times New Roman Bold Italic"/>
          <w:b/>
          <w:bCs/>
          <w:i/>
          <w:iCs/>
          <w:color w:val="auto"/>
          <w:lang w:val="en-US"/>
        </w:rPr>
        <w:t>(e)</w:t>
      </w:r>
      <w:r>
        <w:rPr>
          <w:rFonts w:hint="default" w:ascii="Times New Roman Bold Italic" w:hAnsi="Times New Roman Bold Italic" w:eastAsia="宋体" w:cs="Times New Roman Bold Italic"/>
          <w:b/>
          <w:bCs/>
          <w:i/>
          <w:iCs/>
          <w:color w:val="auto"/>
          <w:lang w:val="en-US"/>
        </w:rPr>
        <w:t>RedCap, and NR eMBB.</w:t>
      </w:r>
    </w:p>
    <w:p w14:paraId="5F1A1348">
      <w:pPr>
        <w:rPr>
          <w:b/>
          <w:bCs/>
          <w:lang w:eastAsia="zh-CN"/>
        </w:rPr>
      </w:pPr>
    </w:p>
    <w:p w14:paraId="2DB612D6">
      <w:pPr>
        <w:pStyle w:val="17"/>
        <w:rPr>
          <w:rFonts w:hint="default" w:ascii="Times New Roman Bold Italic" w:hAnsi="Times New Roman Bold Italic" w:cs="Times New Roman Bold Italic"/>
          <w:b/>
          <w:bCs/>
          <w:i/>
          <w:iCs/>
          <w:color w:val="auto"/>
          <w:sz w:val="22"/>
          <w:szCs w:val="22"/>
          <w:lang w:val="en-US" w:eastAsia="zh-CN"/>
        </w:rPr>
      </w:pPr>
      <w:r>
        <w:rPr>
          <w:rFonts w:hint="default" w:ascii="Times New Roman Bold Italic" w:hAnsi="Times New Roman Bold Italic" w:cs="Times New Roman Bold Italic"/>
          <w:b/>
          <w:bCs/>
          <w:i/>
          <w:iCs/>
          <w:color w:val="auto"/>
          <w:sz w:val="22"/>
          <w:szCs w:val="22"/>
          <w:lang w:val="en-US"/>
        </w:rPr>
        <w:t>Observation 4:</w:t>
      </w:r>
      <w:r>
        <w:rPr>
          <w:rFonts w:hint="default" w:ascii="Times New Roman Bold Italic" w:hAnsi="Times New Roman Bold Italic" w:cs="Times New Roman Bold Italic"/>
          <w:b/>
          <w:bCs/>
          <w:i/>
          <w:iCs/>
          <w:color w:val="auto"/>
          <w:sz w:val="22"/>
          <w:szCs w:val="22"/>
          <w:lang w:val="en-US" w:eastAsia="zh-CN"/>
        </w:rPr>
        <w:t xml:space="preserve"> From table 3, it could be observed that NB-IoT with lower power consumption has higher CFO/SFO compared with NB-IoT, LTE Cat-M, NR RedCap and NR eMBB.</w:t>
      </w:r>
    </w:p>
    <w:p w14:paraId="66CF3D4A">
      <w:pPr>
        <w:numPr>
          <w:ilvl w:val="0"/>
          <w:numId w:val="0"/>
        </w:numPr>
        <w:ind w:leftChars="0"/>
        <w:jc w:val="center"/>
        <w:rPr>
          <w:rFonts w:hint="default" w:ascii="Times New Roman Italic" w:hAnsi="Times New Roman Italic" w:cs="Times New Roman Italic"/>
          <w:i/>
          <w:iCs/>
          <w:lang w:val="en-US" w:eastAsia="zh-CN"/>
        </w:rPr>
      </w:pPr>
      <w:r>
        <w:rPr>
          <w:rFonts w:hint="default" w:ascii="Times New Roman Italic" w:hAnsi="Times New Roman Italic" w:cs="Times New Roman Italic"/>
          <w:i/>
          <w:iCs/>
          <w:lang w:val="en-US" w:eastAsia="zh-CN"/>
        </w:rPr>
        <w:t>Table 3 SFO/CFO comparison of different terminal types</w:t>
      </w:r>
    </w:p>
    <w:tbl>
      <w:tblPr>
        <w:tblStyle w:val="28"/>
        <w:tblW w:w="9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2123"/>
        <w:gridCol w:w="1809"/>
        <w:gridCol w:w="1955"/>
        <w:gridCol w:w="1967"/>
      </w:tblGrid>
      <w:tr w14:paraId="2D1F472E">
        <w:tc>
          <w:tcPr>
            <w:tcW w:w="1364" w:type="dxa"/>
            <w:shd w:val="clear" w:color="auto" w:fill="auto"/>
            <w:vAlign w:val="center"/>
          </w:tcPr>
          <w:p w14:paraId="6832C88F">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Terminal Type</w:t>
            </w:r>
          </w:p>
        </w:tc>
        <w:tc>
          <w:tcPr>
            <w:tcW w:w="2178" w:type="dxa"/>
            <w:shd w:val="clear" w:color="auto" w:fill="auto"/>
            <w:vAlign w:val="center"/>
          </w:tcPr>
          <w:p w14:paraId="465B8074">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CFO Tolerance (Normal Operation)</w:t>
            </w:r>
          </w:p>
        </w:tc>
        <w:tc>
          <w:tcPr>
            <w:tcW w:w="1849" w:type="dxa"/>
            <w:shd w:val="clear" w:color="auto" w:fill="auto"/>
            <w:vAlign w:val="center"/>
          </w:tcPr>
          <w:p w14:paraId="4C5F96A9">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CFO Tolerance (Initial Sync)</w:t>
            </w:r>
          </w:p>
        </w:tc>
        <w:tc>
          <w:tcPr>
            <w:tcW w:w="2002" w:type="dxa"/>
            <w:shd w:val="clear" w:color="auto" w:fill="auto"/>
            <w:vAlign w:val="center"/>
          </w:tcPr>
          <w:p w14:paraId="2F170369">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SFO Stability (Sampling Offset)</w:t>
            </w:r>
          </w:p>
        </w:tc>
        <w:tc>
          <w:tcPr>
            <w:tcW w:w="2024" w:type="dxa"/>
            <w:shd w:val="clear" w:color="auto" w:fill="auto"/>
            <w:vAlign w:val="center"/>
          </w:tcPr>
          <w:p w14:paraId="2248CCFC">
            <w:pPr>
              <w:keepNext w:val="0"/>
              <w:keepLines w:val="0"/>
              <w:widowControl/>
              <w:suppressLineNumbers w:val="0"/>
              <w:jc w:val="center"/>
              <w:rPr>
                <w:rFonts w:hint="default" w:ascii="Times New Roman Regular" w:hAnsi="Times New Roman Regular" w:eastAsia="宋体" w:cs="Times New Roman Regular"/>
                <w:b w:val="0"/>
                <w:bCs/>
                <w:sz w:val="22"/>
                <w:szCs w:val="22"/>
                <w:lang w:val="en-US" w:eastAsia="zh-CN" w:bidi="ar-SA"/>
              </w:rPr>
            </w:pPr>
            <w:r>
              <w:rPr>
                <w:rFonts w:hint="default" w:ascii="Times New Roman Regular" w:hAnsi="Times New Roman Regular" w:eastAsia="宋体" w:cs="Times New Roman Regular"/>
                <w:b w:val="0"/>
                <w:bCs/>
                <w:kern w:val="0"/>
                <w:sz w:val="24"/>
                <w:szCs w:val="24"/>
                <w:lang w:val="en-US" w:eastAsia="zh-CN" w:bidi="ar"/>
              </w:rPr>
              <w:t>Notes</w:t>
            </w:r>
          </w:p>
        </w:tc>
      </w:tr>
      <w:tr w14:paraId="374AA007">
        <w:tc>
          <w:tcPr>
            <w:tcW w:w="1364" w:type="dxa"/>
            <w:shd w:val="clear" w:color="auto" w:fill="auto"/>
            <w:vAlign w:val="center"/>
          </w:tcPr>
          <w:p w14:paraId="7A24B3E0">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NB-IoT</w:t>
            </w:r>
          </w:p>
        </w:tc>
        <w:tc>
          <w:tcPr>
            <w:tcW w:w="2178" w:type="dxa"/>
            <w:shd w:val="clear" w:color="auto" w:fill="auto"/>
            <w:vAlign w:val="center"/>
          </w:tcPr>
          <w:p w14:paraId="05955AD8">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±20 ppm</w:t>
            </w:r>
          </w:p>
        </w:tc>
        <w:tc>
          <w:tcPr>
            <w:tcW w:w="1849" w:type="dxa"/>
            <w:shd w:val="clear" w:color="auto" w:fill="auto"/>
            <w:vAlign w:val="center"/>
          </w:tcPr>
          <w:p w14:paraId="6B941BC6">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±20 ppm</w:t>
            </w:r>
          </w:p>
        </w:tc>
        <w:tc>
          <w:tcPr>
            <w:tcW w:w="2002" w:type="dxa"/>
            <w:shd w:val="clear" w:color="auto" w:fill="auto"/>
            <w:vAlign w:val="center"/>
          </w:tcPr>
          <w:p w14:paraId="21EA246F">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±20 ppm</w:t>
            </w:r>
          </w:p>
        </w:tc>
        <w:tc>
          <w:tcPr>
            <w:tcW w:w="2024" w:type="dxa"/>
            <w:shd w:val="clear" w:color="auto" w:fill="auto"/>
            <w:vAlign w:val="center"/>
          </w:tcPr>
          <w:p w14:paraId="4EA5B90C">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Includes Doppler; low-cost crystal</w:t>
            </w:r>
          </w:p>
        </w:tc>
      </w:tr>
      <w:tr w14:paraId="70DD7F5B">
        <w:tc>
          <w:tcPr>
            <w:tcW w:w="1364" w:type="dxa"/>
            <w:shd w:val="clear" w:color="auto" w:fill="auto"/>
            <w:vAlign w:val="center"/>
          </w:tcPr>
          <w:p w14:paraId="2903128C">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LTE Cat-M</w:t>
            </w:r>
          </w:p>
        </w:tc>
        <w:tc>
          <w:tcPr>
            <w:tcW w:w="2178" w:type="dxa"/>
            <w:shd w:val="clear" w:color="auto" w:fill="auto"/>
            <w:vAlign w:val="center"/>
          </w:tcPr>
          <w:p w14:paraId="62497B32">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1849" w:type="dxa"/>
            <w:shd w:val="clear" w:color="auto" w:fill="auto"/>
            <w:vAlign w:val="center"/>
          </w:tcPr>
          <w:p w14:paraId="3C947474">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±0.5 ppm</w:t>
            </w:r>
          </w:p>
        </w:tc>
        <w:tc>
          <w:tcPr>
            <w:tcW w:w="2002" w:type="dxa"/>
            <w:shd w:val="clear" w:color="auto" w:fill="auto"/>
            <w:vAlign w:val="center"/>
          </w:tcPr>
          <w:p w14:paraId="47897F89">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2024" w:type="dxa"/>
            <w:shd w:val="clear" w:color="auto" w:fill="auto"/>
            <w:vAlign w:val="center"/>
          </w:tcPr>
          <w:p w14:paraId="683A23A7">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Same as LTE</w:t>
            </w:r>
          </w:p>
        </w:tc>
      </w:tr>
      <w:tr w14:paraId="2A1A0371">
        <w:tc>
          <w:tcPr>
            <w:tcW w:w="1364" w:type="dxa"/>
            <w:shd w:val="clear" w:color="auto" w:fill="auto"/>
            <w:vAlign w:val="center"/>
          </w:tcPr>
          <w:p w14:paraId="412CF4ED">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 xml:space="preserve">NR </w:t>
            </w:r>
            <w:r>
              <w:rPr>
                <w:rStyle w:val="30"/>
                <w:rFonts w:hint="default" w:ascii="Times New Roman Regular" w:hAnsi="Times New Roman Regular" w:cs="Times New Roman Regular"/>
                <w:b w:val="0"/>
                <w:kern w:val="0"/>
                <w:sz w:val="24"/>
                <w:szCs w:val="24"/>
                <w:lang w:val="en-US" w:eastAsia="zh-CN" w:bidi="ar"/>
              </w:rPr>
              <w:t>RedCap</w:t>
            </w:r>
            <w:r>
              <w:rPr>
                <w:rStyle w:val="30"/>
                <w:rFonts w:hint="default" w:ascii="Times New Roman Regular" w:hAnsi="Times New Roman Regular" w:eastAsia="宋体" w:cs="Times New Roman Regular"/>
                <w:b w:val="0"/>
                <w:kern w:val="0"/>
                <w:sz w:val="24"/>
                <w:szCs w:val="24"/>
                <w:lang w:val="en-US" w:eastAsia="zh-CN" w:bidi="ar"/>
              </w:rPr>
              <w:t>(FR1)</w:t>
            </w:r>
          </w:p>
        </w:tc>
        <w:tc>
          <w:tcPr>
            <w:tcW w:w="2178" w:type="dxa"/>
            <w:shd w:val="clear" w:color="auto" w:fill="auto"/>
            <w:vAlign w:val="center"/>
          </w:tcPr>
          <w:p w14:paraId="62CCCA7D">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1849" w:type="dxa"/>
            <w:shd w:val="clear" w:color="auto" w:fill="auto"/>
            <w:vAlign w:val="center"/>
          </w:tcPr>
          <w:p w14:paraId="2C7924B5">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±0.5 ppm</w:t>
            </w:r>
          </w:p>
        </w:tc>
        <w:tc>
          <w:tcPr>
            <w:tcW w:w="2002" w:type="dxa"/>
            <w:shd w:val="clear" w:color="auto" w:fill="auto"/>
            <w:vAlign w:val="center"/>
          </w:tcPr>
          <w:p w14:paraId="73C1BD7D">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2024" w:type="dxa"/>
            <w:shd w:val="clear" w:color="auto" w:fill="auto"/>
            <w:vAlign w:val="center"/>
          </w:tcPr>
          <w:p w14:paraId="1D28F4DB">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Same as standard NR</w:t>
            </w:r>
          </w:p>
        </w:tc>
      </w:tr>
      <w:tr w14:paraId="697F7B80">
        <w:tc>
          <w:tcPr>
            <w:tcW w:w="1364" w:type="dxa"/>
            <w:shd w:val="clear" w:color="auto" w:fill="auto"/>
            <w:vAlign w:val="center"/>
          </w:tcPr>
          <w:p w14:paraId="58670F48">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Style w:val="30"/>
                <w:rFonts w:hint="default" w:ascii="Times New Roman Regular" w:hAnsi="Times New Roman Regular" w:eastAsia="宋体" w:cs="Times New Roman Regular"/>
                <w:b w:val="0"/>
                <w:kern w:val="0"/>
                <w:sz w:val="24"/>
                <w:szCs w:val="24"/>
                <w:lang w:val="en-US" w:eastAsia="zh-CN" w:bidi="ar"/>
              </w:rPr>
              <w:t>5G eMBB (FR1)</w:t>
            </w:r>
          </w:p>
        </w:tc>
        <w:tc>
          <w:tcPr>
            <w:tcW w:w="2178" w:type="dxa"/>
            <w:shd w:val="clear" w:color="auto" w:fill="auto"/>
            <w:vAlign w:val="center"/>
          </w:tcPr>
          <w:p w14:paraId="747677DF">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1849" w:type="dxa"/>
            <w:shd w:val="clear" w:color="auto" w:fill="auto"/>
            <w:vAlign w:val="center"/>
          </w:tcPr>
          <w:p w14:paraId="41C64E06">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±0.5 ppm</w:t>
            </w:r>
          </w:p>
        </w:tc>
        <w:tc>
          <w:tcPr>
            <w:tcW w:w="2002" w:type="dxa"/>
            <w:shd w:val="clear" w:color="auto" w:fill="auto"/>
            <w:vAlign w:val="center"/>
          </w:tcPr>
          <w:p w14:paraId="10AD4865">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±0.1 ppm</w:t>
            </w:r>
          </w:p>
        </w:tc>
        <w:tc>
          <w:tcPr>
            <w:tcW w:w="2024" w:type="dxa"/>
            <w:shd w:val="clear" w:color="auto" w:fill="auto"/>
            <w:vAlign w:val="center"/>
          </w:tcPr>
          <w:p w14:paraId="332CB0F3">
            <w:pPr>
              <w:keepNext w:val="0"/>
              <w:keepLines w:val="0"/>
              <w:widowControl/>
              <w:suppressLineNumbers w:val="0"/>
              <w:jc w:val="left"/>
              <w:rPr>
                <w:rFonts w:hint="default" w:ascii="Times New Roman Regular" w:hAnsi="Times New Roman Regular" w:eastAsia="宋体" w:cs="Times New Roman Regular"/>
                <w:b w:val="0"/>
                <w:sz w:val="22"/>
                <w:szCs w:val="22"/>
                <w:lang w:val="en-US" w:eastAsia="zh-CN" w:bidi="ar-SA"/>
              </w:rPr>
            </w:pPr>
            <w:r>
              <w:rPr>
                <w:rFonts w:hint="default" w:ascii="Times New Roman Regular" w:hAnsi="Times New Roman Regular" w:eastAsia="宋体" w:cs="Times New Roman Regular"/>
                <w:b w:val="0"/>
                <w:kern w:val="0"/>
                <w:sz w:val="24"/>
                <w:szCs w:val="24"/>
                <w:lang w:val="en-US" w:eastAsia="zh-CN" w:bidi="ar"/>
              </w:rPr>
              <w:t>FR2 stricter: ~±0.05 ppm</w:t>
            </w:r>
          </w:p>
        </w:tc>
      </w:tr>
    </w:tbl>
    <w:p w14:paraId="5CB271C5">
      <w:pPr>
        <w:rPr>
          <w:b/>
          <w:bCs/>
          <w:lang w:eastAsia="zh-CN"/>
        </w:rPr>
      </w:pPr>
    </w:p>
    <w:p w14:paraId="20F54DF6">
      <w:pPr>
        <w:pStyle w:val="17"/>
        <w:rPr>
          <w:rFonts w:hint="default" w:ascii="Times New Roman Bold Italic" w:hAnsi="Times New Roman Bold Italic" w:eastAsia="宋体" w:cs="Times New Roman Bold Italic"/>
          <w:b/>
          <w:bCs/>
          <w:i/>
          <w:iCs/>
          <w:color w:val="auto"/>
          <w:sz w:val="22"/>
          <w:szCs w:val="22"/>
          <w:lang w:val="en-US" w:eastAsia="zh-CN"/>
        </w:rPr>
      </w:pPr>
      <w:r>
        <w:rPr>
          <w:rFonts w:hint="default" w:ascii="Times New Roman Bold Italic" w:hAnsi="Times New Roman Bold Italic" w:cs="Times New Roman Bold Italic"/>
          <w:b/>
          <w:bCs/>
          <w:i/>
          <w:iCs/>
          <w:color w:val="auto"/>
          <w:sz w:val="22"/>
          <w:szCs w:val="22"/>
          <w:lang w:val="en-US"/>
        </w:rPr>
        <w:t>Observation 5:</w:t>
      </w:r>
      <w:r>
        <w:rPr>
          <w:rFonts w:hint="default" w:ascii="Times New Roman Bold Italic" w:hAnsi="Times New Roman Bold Italic" w:cs="Times New Roman Bold Italic"/>
          <w:b/>
          <w:bCs/>
          <w:i/>
          <w:iCs/>
          <w:color w:val="auto"/>
          <w:sz w:val="22"/>
          <w:szCs w:val="22"/>
          <w:lang w:val="en-US" w:eastAsia="zh-CN"/>
        </w:rPr>
        <w:t xml:space="preserve"> If one terminal with multi-capability to </w:t>
      </w:r>
      <w:r>
        <w:rPr>
          <w:rFonts w:hint="default" w:ascii="Times New Roman Bold Italic" w:hAnsi="Times New Roman Bold Italic" w:cs="Times New Roman Bold Italic"/>
          <w:b/>
          <w:bCs/>
          <w:i/>
          <w:iCs/>
          <w:sz w:val="22"/>
          <w:szCs w:val="22"/>
          <w:lang w:val="en-US" w:eastAsia="zh-CN"/>
        </w:rPr>
        <w:t xml:space="preserve">support multiple </w:t>
      </w:r>
      <w:r>
        <w:rPr>
          <w:rFonts w:hint="eastAsia" w:ascii="Times New Roman Bold Italic" w:hAnsi="Times New Roman Bold Italic" w:cs="Times New Roman Bold Italic"/>
          <w:b/>
          <w:bCs/>
          <w:i/>
          <w:iCs/>
          <w:sz w:val="22"/>
          <w:szCs w:val="22"/>
          <w:lang w:val="en-US" w:eastAsia="zh-CN"/>
        </w:rPr>
        <w:t xml:space="preserve">power </w:t>
      </w:r>
      <w:r>
        <w:rPr>
          <w:rFonts w:hint="default" w:ascii="Times New Roman Bold Italic" w:hAnsi="Times New Roman Bold Italic" w:cs="Times New Roman Bold Italic"/>
          <w:b/>
          <w:bCs/>
          <w:i/>
          <w:iCs/>
          <w:sz w:val="22"/>
          <w:szCs w:val="22"/>
          <w:lang w:val="en-US" w:eastAsia="zh-CN"/>
        </w:rPr>
        <w:t xml:space="preserve">consumption modes or RATs, it is a better way to reduce power consumption and unify design of different terminal types. </w:t>
      </w:r>
    </w:p>
    <w:p w14:paraId="3A501FB9">
      <w:pPr>
        <w:pStyle w:val="17"/>
        <w:rPr>
          <w:rFonts w:hint="default" w:ascii="Times New Roman Bold Italic" w:hAnsi="Times New Roman Bold Italic" w:cs="Times New Roman Bold Italic"/>
          <w:b/>
          <w:bCs/>
          <w:i/>
          <w:iCs/>
          <w:color w:val="auto"/>
          <w:sz w:val="22"/>
          <w:szCs w:val="22"/>
          <w:lang w:val="en-US"/>
        </w:rPr>
      </w:pPr>
      <w:r>
        <w:rPr>
          <w:rFonts w:hint="default" w:ascii="Times New Roman Bold Italic" w:hAnsi="Times New Roman Bold Italic" w:cs="Times New Roman Bold Italic"/>
          <w:b/>
          <w:bCs/>
          <w:i/>
          <w:iCs/>
          <w:color w:val="auto"/>
          <w:sz w:val="22"/>
          <w:szCs w:val="22"/>
          <w:lang w:val="en-US"/>
        </w:rPr>
        <w:t xml:space="preserve">Observation 6: For </w:t>
      </w:r>
      <w:r>
        <w:rPr>
          <w:rFonts w:hint="default" w:ascii="Times New Roman Bold Italic" w:hAnsi="Times New Roman Bold Italic" w:cs="Times New Roman Bold Italic"/>
          <w:b/>
          <w:bCs/>
          <w:i/>
          <w:iCs/>
          <w:color w:val="auto"/>
          <w:sz w:val="22"/>
          <w:szCs w:val="22"/>
          <w:lang w:val="en-US" w:eastAsia="zh-CN"/>
        </w:rPr>
        <w:t xml:space="preserve">one terminal with multi-capability to </w:t>
      </w:r>
      <w:r>
        <w:rPr>
          <w:rFonts w:hint="default" w:ascii="Times New Roman Bold Italic" w:hAnsi="Times New Roman Bold Italic" w:cs="Times New Roman Bold Italic"/>
          <w:b/>
          <w:bCs/>
          <w:i/>
          <w:iCs/>
          <w:sz w:val="22"/>
          <w:szCs w:val="22"/>
          <w:lang w:val="en-US" w:eastAsia="zh-CN"/>
        </w:rPr>
        <w:t xml:space="preserve">support multiple </w:t>
      </w:r>
      <w:r>
        <w:rPr>
          <w:rFonts w:hint="eastAsia" w:ascii="Times New Roman Bold Italic" w:hAnsi="Times New Roman Bold Italic" w:cs="Times New Roman Bold Italic"/>
          <w:b/>
          <w:bCs/>
          <w:i/>
          <w:iCs/>
          <w:sz w:val="22"/>
          <w:szCs w:val="22"/>
          <w:lang w:val="en-US" w:eastAsia="zh-CN"/>
        </w:rPr>
        <w:t xml:space="preserve">power </w:t>
      </w:r>
      <w:r>
        <w:rPr>
          <w:rFonts w:hint="default" w:ascii="Times New Roman Bold Italic" w:hAnsi="Times New Roman Bold Italic" w:cs="Times New Roman Bold Italic"/>
          <w:b/>
          <w:bCs/>
          <w:i/>
          <w:iCs/>
          <w:sz w:val="22"/>
          <w:szCs w:val="22"/>
          <w:lang w:val="en-US" w:eastAsia="zh-CN"/>
        </w:rPr>
        <w:t>consumption modes or RATs,</w:t>
      </w:r>
      <w:r>
        <w:rPr>
          <w:rFonts w:hint="default" w:ascii="Times New Roman Bold Italic" w:hAnsi="Times New Roman Bold Italic" w:cs="Times New Roman Bold Italic"/>
          <w:b/>
          <w:bCs/>
          <w:i/>
          <w:iCs/>
          <w:color w:val="auto"/>
          <w:sz w:val="22"/>
          <w:szCs w:val="22"/>
          <w:lang w:val="en-US"/>
        </w:rPr>
        <w:t xml:space="preserve"> some potential </w:t>
      </w:r>
      <w:r>
        <w:rPr>
          <w:rFonts w:hint="eastAsia" w:ascii="Times New Roman Bold Italic" w:hAnsi="Times New Roman Bold Italic" w:cs="Times New Roman Bold Italic"/>
          <w:b/>
          <w:bCs/>
          <w:i/>
          <w:iCs/>
          <w:color w:val="auto"/>
          <w:sz w:val="22"/>
          <w:szCs w:val="22"/>
          <w:lang w:val="en-US" w:eastAsia="zh-CN"/>
        </w:rPr>
        <w:t>issues</w:t>
      </w:r>
      <w:r>
        <w:rPr>
          <w:rFonts w:hint="default" w:ascii="Times New Roman Bold Italic" w:hAnsi="Times New Roman Bold Italic" w:cs="Times New Roman Bold Italic"/>
          <w:b/>
          <w:bCs/>
          <w:i/>
          <w:iCs/>
          <w:color w:val="auto"/>
          <w:sz w:val="22"/>
          <w:szCs w:val="22"/>
          <w:lang w:val="en-US"/>
        </w:rPr>
        <w:t xml:space="preserve"> could be discovered in multi-capability mismatching, mode switching, and minimizing power overhead.</w:t>
      </w:r>
    </w:p>
    <w:p w14:paraId="60B3AD2A">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7: The amount of information (bits) transmitted per unit of energy (Joule) as baseline parameter of energy efficiency has been defined in IMT-2020.</w:t>
      </w:r>
    </w:p>
    <w:p w14:paraId="127C18D7">
      <w:pPr>
        <w:rPr>
          <w:rFonts w:hint="default"/>
          <w:lang w:val="en-US" w:eastAsia="zh-CN"/>
        </w:rPr>
      </w:pPr>
      <w:r>
        <w:rPr>
          <w:rFonts w:hint="default" w:ascii="Times New Roman Bold Italic" w:hAnsi="Times New Roman Bold Italic" w:cs="Times New Roman Bold Italic"/>
          <w:b/>
          <w:bCs/>
          <w:i/>
          <w:iCs/>
          <w:lang w:val="en-US" w:eastAsia="zh-CN"/>
        </w:rPr>
        <w:t>Observation 8: Simulation results highlight how deep sleep and dynamic resource adaptation in Config B significantly cut energy use during idle or light load periods, aligning with 3GPP’s defined sleep states (micro/light/deep) for NR base stations.</w:t>
      </w:r>
    </w:p>
    <w:p w14:paraId="2C71A939">
      <w:pPr>
        <w:numPr>
          <w:ilvl w:val="0"/>
          <w:numId w:val="0"/>
        </w:numPr>
        <w:ind w:leftChars="0"/>
        <w:rPr>
          <w:rFonts w:hint="default"/>
          <w:lang w:val="en-US" w:eastAsia="zh-CN"/>
        </w:rPr>
      </w:pPr>
      <w:r>
        <w:rPr>
          <w:rFonts w:hint="default" w:ascii="Times New Roman Bold Italic" w:hAnsi="Times New Roman Bold Italic" w:cs="Times New Roman Bold Italic"/>
          <w:b/>
          <w:bCs/>
          <w:i/>
          <w:iCs/>
          <w:lang w:val="en-US" w:eastAsia="zh-CN"/>
        </w:rPr>
        <w:t>Observation 9: Single metric like bit/J need to be complemented with other aspects for a holistic view, other potential parameters may be considered for 6G study like active data energy efficiency, idle power consumption, or wake-up/transition efficiency, etc.</w:t>
      </w:r>
    </w:p>
    <w:p w14:paraId="758EEE64">
      <w:pPr>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Observation 10: Except defining separate energy efficiency parameters for UEs and network nodes, 6G might also consider the end-to-end energy efficiency of the communication system. However, end-to-end metrics are harder to allocate and implement since operators and users manage different portions of the power budget, and business models are separate.</w:t>
      </w:r>
    </w:p>
    <w:p w14:paraId="0AF35C03">
      <w:pPr>
        <w:pStyle w:val="17"/>
        <w:rPr>
          <w:rFonts w:hint="default" w:ascii="Times New Roman Bold Italic" w:hAnsi="Times New Roman Bold Italic" w:cs="Times New Roman Bold Italic"/>
          <w:b/>
          <w:bCs/>
          <w:i/>
          <w:iCs/>
          <w:sz w:val="22"/>
          <w:szCs w:val="22"/>
          <w:lang w:val="en-US"/>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11</w:t>
      </w:r>
      <w:r>
        <w:rPr>
          <w:rFonts w:hint="default" w:ascii="Times New Roman Bold Italic" w:hAnsi="Times New Roman Bold Italic" w:cs="Times New Roman Bold Italic"/>
          <w:b/>
          <w:bCs/>
          <w:i/>
          <w:iCs/>
          <w:sz w:val="22"/>
          <w:szCs w:val="22"/>
          <w:lang w:val="en-US" w:eastAsia="zh-CN"/>
        </w:rPr>
        <w:t xml:space="preserve">: </w:t>
      </w:r>
      <w:r>
        <w:rPr>
          <w:rFonts w:hint="default" w:ascii="Times New Roman Bold Italic" w:hAnsi="Times New Roman Bold Italic" w:cs="Times New Roman Bold Italic"/>
          <w:b/>
          <w:bCs/>
          <w:i/>
          <w:iCs/>
          <w:sz w:val="22"/>
          <w:szCs w:val="22"/>
        </w:rPr>
        <w:t>IMT-2030 framework explicitly calls for improving energy efficiency (bits</w:t>
      </w:r>
      <w:r>
        <w:rPr>
          <w:rFonts w:hint="default" w:ascii="Times New Roman Bold Italic" w:hAnsi="Times New Roman Bold Italic" w:cs="Times New Roman Bold Italic"/>
          <w:b/>
          <w:bCs/>
          <w:i/>
          <w:iCs/>
          <w:sz w:val="22"/>
          <w:szCs w:val="22"/>
          <w:lang w:val="en-US" w:eastAsia="zh-CN"/>
        </w:rPr>
        <w:t>/</w:t>
      </w:r>
      <w:r>
        <w:rPr>
          <w:rFonts w:hint="default" w:ascii="Times New Roman Bold Italic" w:hAnsi="Times New Roman Bold Italic" w:cs="Times New Roman Bold Italic"/>
          <w:b/>
          <w:bCs/>
          <w:i/>
          <w:iCs/>
          <w:sz w:val="22"/>
          <w:szCs w:val="22"/>
        </w:rPr>
        <w:t>J) in step with capacity increases to minimize overall power usage, reflecting a goal to boost SE and EE together where possible</w:t>
      </w:r>
      <w:r>
        <w:rPr>
          <w:rFonts w:hint="default" w:ascii="Times New Roman Bold Italic" w:hAnsi="Times New Roman Bold Italic" w:cs="Times New Roman Bold Italic"/>
          <w:b/>
          <w:bCs/>
          <w:i/>
          <w:iCs/>
          <w:sz w:val="22"/>
          <w:szCs w:val="22"/>
          <w:lang w:val="en-US"/>
        </w:rPr>
        <w:t>, which is up to the services needs.</w:t>
      </w:r>
    </w:p>
    <w:p w14:paraId="30D4558A">
      <w:pPr>
        <w:pStyle w:val="17"/>
        <w:rPr>
          <w:rFonts w:hint="default"/>
          <w:sz w:val="22"/>
          <w:szCs w:val="22"/>
          <w:lang w:val="en-US" w:eastAsia="zh-CN"/>
        </w:rPr>
      </w:pPr>
      <w:r>
        <w:rPr>
          <w:rFonts w:hint="default" w:ascii="Times New Roman Bold Italic" w:hAnsi="Times New Roman Bold Italic" w:cs="Times New Roman Bold Italic"/>
          <w:b/>
          <w:bCs/>
          <w:i/>
          <w:iCs/>
          <w:sz w:val="22"/>
          <w:szCs w:val="22"/>
          <w:lang w:val="en-US"/>
        </w:rPr>
        <w:t xml:space="preserve">Observation </w:t>
      </w:r>
      <w:r>
        <w:rPr>
          <w:rFonts w:hint="eastAsia" w:ascii="Times New Roman Bold Italic" w:hAnsi="Times New Roman Bold Italic" w:cs="Times New Roman Bold Italic"/>
          <w:b/>
          <w:bCs/>
          <w:i/>
          <w:iCs/>
          <w:sz w:val="22"/>
          <w:szCs w:val="22"/>
          <w:lang w:val="en-US" w:eastAsia="zh-CN"/>
        </w:rPr>
        <w:t>12</w:t>
      </w:r>
      <w:r>
        <w:rPr>
          <w:rFonts w:hint="default" w:ascii="Times New Roman Bold Italic" w:hAnsi="Times New Roman Bold Italic" w:cs="Times New Roman Bold Italic"/>
          <w:b/>
          <w:bCs/>
          <w:i/>
          <w:iCs/>
          <w:sz w:val="22"/>
          <w:szCs w:val="22"/>
          <w:lang w:val="en-US"/>
        </w:rPr>
        <w:t xml:space="preserve">: </w:t>
      </w:r>
      <w:r>
        <w:rPr>
          <w:rFonts w:hint="default" w:ascii="Times New Roman Bold Italic" w:hAnsi="Times New Roman Bold Italic" w:cs="Times New Roman Bold Italic"/>
          <w:b/>
          <w:bCs/>
          <w:i/>
          <w:iCs/>
          <w:sz w:val="22"/>
          <w:szCs w:val="22"/>
        </w:rPr>
        <w:t>The 6G radio access network will likely be adaptive to intelligently balance SE, EE, and QoS per scenario, ensuring that high performance and low latency are delivered when needed, while idle resources are minimized to save energy</w:t>
      </w:r>
    </w:p>
    <w:p w14:paraId="6D4B3F6C">
      <w:pPr>
        <w:numPr>
          <w:ilvl w:val="0"/>
          <w:numId w:val="0"/>
        </w:numPr>
        <w:ind w:left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w:t>
      </w:r>
      <w:r>
        <w:rPr>
          <w:rFonts w:hint="eastAsia" w:ascii="Times New Roman Bold Italic" w:hAnsi="Times New Roman Bold Italic" w:cs="Times New Roman Bold Italic"/>
          <w:b/>
          <w:bCs/>
          <w:i/>
          <w:iCs/>
          <w:lang w:val="en-US" w:eastAsia="zh-CN"/>
        </w:rPr>
        <w:t>3</w:t>
      </w:r>
      <w:r>
        <w:rPr>
          <w:rFonts w:hint="default" w:ascii="Times New Roman Bold Italic" w:hAnsi="Times New Roman Bold Italic" w:cs="Times New Roman Bold Italic"/>
          <w:b/>
          <w:bCs/>
          <w:i/>
          <w:iCs/>
          <w:lang w:val="en-US" w:eastAsia="zh-CN"/>
        </w:rPr>
        <w:t>: Some physical air interface techniques such as SC-FDMA, constant-envelope modulation, low-complexity FEC, deep sleep frame design, and robust wake-up sequences is needed for reducing UE power consumption, improving PA efficiency, and enabling ultra-low-power operation across diverse 6G use cases.</w:t>
      </w:r>
    </w:p>
    <w:p w14:paraId="1D0F7AE8">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14</w:t>
      </w:r>
      <w:r>
        <w:rPr>
          <w:rFonts w:hint="default" w:ascii="Times New Roman Bold Italic" w:hAnsi="Times New Roman Bold Italic" w:cs="Times New Roman Bold Italic"/>
          <w:b/>
          <w:bCs/>
          <w:i/>
          <w:iCs/>
          <w:lang w:eastAsia="zh-CN"/>
        </w:rPr>
        <w:t>: When designing the signals for 6G, the principle of “Less ON, More OFF” should be followed.</w:t>
      </w:r>
    </w:p>
    <w:p w14:paraId="41D8E97D">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15</w:t>
      </w:r>
      <w:r>
        <w:rPr>
          <w:rFonts w:hint="default" w:ascii="Times New Roman Bold Italic" w:hAnsi="Times New Roman Bold Italic" w:cs="Times New Roman Bold Italic"/>
          <w:b/>
          <w:bCs/>
          <w:i/>
          <w:iCs/>
          <w:lang w:eastAsia="zh-CN"/>
        </w:rPr>
        <w:t>: On-demand transmission requires intelligent coordination between the network and UEs so that UEs know when to listen or how to request a transmission, ensuring that on-demand operation doesn’t compromise connectivity or latency more than acceptable.</w:t>
      </w:r>
    </w:p>
    <w:p w14:paraId="762DAF60">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Observation</w:t>
      </w:r>
      <w:r>
        <w:rPr>
          <w:rFonts w:hint="default" w:ascii="Times New Roman Bold Italic" w:hAnsi="Times New Roman Bold Italic" w:cs="Times New Roman Bold Italic"/>
          <w:b/>
          <w:bCs/>
          <w:i/>
          <w:iCs/>
          <w:lang w:val="en-US" w:eastAsia="zh-CN"/>
        </w:rPr>
        <w:t xml:space="preserve"> 16</w:t>
      </w:r>
      <w:r>
        <w:rPr>
          <w:rFonts w:hint="default" w:ascii="Times New Roman Bold Italic" w:hAnsi="Times New Roman Bold Italic" w:cs="Times New Roman Bold Italic"/>
          <w:b/>
          <w:bCs/>
          <w:i/>
          <w:iCs/>
          <w:lang w:eastAsia="zh-CN"/>
        </w:rPr>
        <w:t xml:space="preserve">: By making the common signals (synchronization signal/system information/paging/RACH) adaptive, 6G would significantly cut down the time a cell transmitter is active </w:t>
      </w:r>
      <w:r>
        <w:rPr>
          <w:rFonts w:hint="eastAsia" w:ascii="Times New Roman Bold Italic" w:hAnsi="Times New Roman Bold Italic" w:cs="Times New Roman Bold Italic"/>
          <w:b/>
          <w:bCs/>
          <w:i/>
          <w:iCs/>
          <w:lang w:val="en-US" w:eastAsia="zh-CN"/>
        </w:rPr>
        <w:t>when</w:t>
      </w:r>
      <w:r>
        <w:rPr>
          <w:rFonts w:hint="default" w:ascii="Times New Roman Bold Italic" w:hAnsi="Times New Roman Bold Italic" w:cs="Times New Roman Bold Italic"/>
          <w:b/>
          <w:bCs/>
          <w:i/>
          <w:iCs/>
          <w:lang w:eastAsia="zh-CN"/>
        </w:rPr>
        <w:t xml:space="preserve"> no real user data to send.</w:t>
      </w:r>
    </w:p>
    <w:p w14:paraId="5B2F608C">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17</w:t>
      </w:r>
      <w:r>
        <w:rPr>
          <w:rFonts w:hint="default" w:ascii="Times New Roman Bold Italic" w:hAnsi="Times New Roman Bold Italic" w:cs="Times New Roman Bold Italic"/>
          <w:b/>
          <w:bCs/>
          <w:i/>
          <w:iCs/>
          <w:lang w:eastAsia="zh-CN"/>
        </w:rPr>
        <w:t>: 6G will natively embrace and further study techniques to avoid always on control channels and reference signals.</w:t>
      </w:r>
    </w:p>
    <w:p w14:paraId="13A29AED">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18</w:t>
      </w:r>
      <w:r>
        <w:rPr>
          <w:rFonts w:hint="default" w:ascii="Times New Roman Bold Italic" w:hAnsi="Times New Roman Bold Italic" w:cs="Times New Roman Bold Italic"/>
          <w:b/>
          <w:bCs/>
          <w:i/>
          <w:iCs/>
          <w:lang w:eastAsia="zh-CN"/>
        </w:rPr>
        <w:t>: For multi-carrier operation and single-cell multi-carrier deployment, scaling bandwidth on demand and eliminating duplicate common signals on each frequency band makes 6G systems more power-efficient.</w:t>
      </w:r>
    </w:p>
    <w:p w14:paraId="31C80107">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19</w:t>
      </w:r>
      <w:r>
        <w:rPr>
          <w:rFonts w:hint="default" w:ascii="Times New Roman Bold Italic" w:hAnsi="Times New Roman Bold Italic" w:cs="Times New Roman Bold Italic"/>
          <w:b/>
          <w:bCs/>
          <w:i/>
          <w:iCs/>
          <w:lang w:eastAsia="zh-CN"/>
        </w:rPr>
        <w:t>: Energy improvement in spatial domain would be achieved by fewer active panels/Rx chains and fewer active beams on the UE and fewer ports/elements, muted TxRUs, fewer beams, and muted TRPs on the base station.</w:t>
      </w:r>
    </w:p>
    <w:p w14:paraId="5F3FDAAF">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val="en-US" w:eastAsia="zh-CN"/>
        </w:rPr>
        <w:t>: Lower PAPR enables PAs to run closer to saturation, directly improving</w:t>
      </w:r>
      <w:r>
        <w:rPr>
          <w:rFonts w:hint="eastAsia" w:ascii="Times New Roman Bold Italic" w:hAnsi="Times New Roman Bold Italic" w:cs="Times New Roman Bold Italic"/>
          <w:b/>
          <w:bCs/>
          <w:i/>
          <w:iCs/>
          <w:lang w:val="en-US" w:eastAsia="zh-CN"/>
        </w:rPr>
        <w:t xml:space="preserve"> </w:t>
      </w:r>
      <w:r>
        <w:rPr>
          <w:rFonts w:hint="default" w:ascii="Times New Roman Bold Italic" w:hAnsi="Times New Roman Bold Italic" w:cs="Times New Roman Bold Italic"/>
          <w:b/>
          <w:bCs/>
          <w:i/>
          <w:iCs/>
          <w:lang w:val="en-US" w:eastAsia="zh-CN"/>
        </w:rPr>
        <w:t>energy efficiency (bits/J), especially critical for battery-powered UEs and high-frequency BS transmitters.</w:t>
      </w:r>
    </w:p>
    <w:p w14:paraId="17E2FFED">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21</w:t>
      </w:r>
      <w:r>
        <w:rPr>
          <w:rFonts w:hint="default" w:ascii="Times New Roman Bold Italic" w:hAnsi="Times New Roman Bold Italic" w:cs="Times New Roman Bold Italic"/>
          <w:b/>
          <w:bCs/>
          <w:i/>
          <w:iCs/>
          <w:lang w:val="en-US" w:eastAsia="zh-CN"/>
        </w:rPr>
        <w:t>: AI-assisted control and expanded deep sleep for both BS and UE PAs, could have some benefits of reducing interference and extending device runtime.</w:t>
      </w:r>
    </w:p>
    <w:p w14:paraId="3B72D04F">
      <w:pPr>
        <w:rPr>
          <w:rFonts w:hint="default"/>
          <w:lang w:val="en-US" w:eastAsia="zh-CN"/>
        </w:rPr>
      </w:pPr>
      <w:r>
        <w:rPr>
          <w:rFonts w:hint="eastAsia"/>
          <w:b/>
          <w:bCs/>
          <w:i/>
          <w:iCs/>
          <w:lang w:val="en-US" w:eastAsia="zh-CN"/>
        </w:rPr>
        <w:t>Observation 22：Adaptive emi</w:t>
      </w:r>
      <w:r>
        <w:rPr>
          <w:rFonts w:hint="default"/>
          <w:b/>
          <w:bCs/>
          <w:i/>
          <w:iCs/>
          <w:lang w:val="en-US" w:eastAsia="zh-CN"/>
        </w:rPr>
        <w:t xml:space="preserve">ssion masks and context-based EVM can allow more non-linearity and thus higher efficiency. Also, power classes may expand to cover </w:t>
      </w:r>
      <w:r>
        <w:rPr>
          <w:rFonts w:hint="eastAsia"/>
          <w:b/>
          <w:bCs/>
          <w:i/>
          <w:iCs/>
          <w:lang w:val="en-US" w:eastAsia="zh-CN"/>
        </w:rPr>
        <w:t>LPWA devices</w:t>
      </w:r>
      <w:r>
        <w:rPr>
          <w:rFonts w:hint="default"/>
          <w:b/>
          <w:bCs/>
          <w:i/>
          <w:iCs/>
          <w:lang w:val="en-US" w:eastAsia="zh-CN"/>
        </w:rPr>
        <w:t xml:space="preserve"> and high-power specialized UEs, with efficiency benchmarks.</w:t>
      </w:r>
    </w:p>
    <w:p w14:paraId="3967F1A8">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23</w:t>
      </w:r>
      <w:r>
        <w:rPr>
          <w:rFonts w:hint="default" w:ascii="Times New Roman Bold Italic" w:hAnsi="Times New Roman Bold Italic" w:cs="Times New Roman Bold Italic"/>
          <w:b/>
          <w:bCs/>
          <w:i/>
          <w:iCs/>
          <w:lang w:val="en-US" w:eastAsia="zh-CN"/>
        </w:rPr>
        <w:t>: 6G is expected to natively support long DRX cycles and WUS from its first release, leveraging the 5G-Advanced WUR features (Rel-18/19) to benefit even high-capability devices operating in low-power modes as well as massive-scale LPWA.</w:t>
      </w:r>
    </w:p>
    <w:p w14:paraId="04061371">
      <w:pPr>
        <w:rPr>
          <w:rFonts w:hint="default" w:ascii="Times New Roman Bold Italic" w:hAnsi="Times New Roman Bold Italic" w:cs="Times New Roman Bold Italic"/>
          <w:b/>
          <w:bCs/>
          <w:i/>
          <w:iCs/>
          <w:lang w:val="en-US" w:eastAsia="zh-CN"/>
        </w:rPr>
      </w:pPr>
      <w:r>
        <w:rPr>
          <w:rFonts w:hint="eastAsia" w:ascii="Times New Roman Bold Italic" w:hAnsi="Times New Roman Bold Italic" w:cs="Times New Roman Bold Italic"/>
          <w:b/>
          <w:bCs/>
          <w:i/>
          <w:iCs/>
          <w:lang w:val="en-US" w:eastAsia="zh-CN"/>
        </w:rPr>
        <w:t>Observation 24：</w:t>
      </w:r>
      <w:r>
        <w:rPr>
          <w:rFonts w:hint="default" w:ascii="Times New Roman Bold Italic" w:hAnsi="Times New Roman Bold Italic" w:cs="Times New Roman Bold Italic"/>
          <w:b/>
          <w:bCs/>
          <w:i/>
          <w:iCs/>
          <w:lang w:val="en-US" w:eastAsia="zh-CN"/>
        </w:rPr>
        <w:t>Several challenges remain in applying low-power signals to all 6G use cases, e.g., coverage and reliability, overhead and efficient data transfer, ISAC related issues.</w:t>
      </w:r>
    </w:p>
    <w:p w14:paraId="5634D874">
      <w:pPr>
        <w:rPr>
          <w:b/>
          <w:bCs/>
          <w:lang w:eastAsia="zh-CN"/>
        </w:rPr>
      </w:pPr>
    </w:p>
    <w:p w14:paraId="7ADFABF8">
      <w:pPr>
        <w:rPr>
          <w:b/>
          <w:bCs/>
          <w:sz w:val="22"/>
          <w:szCs w:val="22"/>
          <w:lang w:eastAsia="zh-CN"/>
        </w:rPr>
      </w:pPr>
    </w:p>
    <w:p w14:paraId="50DB86C4">
      <w:pPr>
        <w:pStyle w:val="17"/>
        <w:rPr>
          <w:rFonts w:hint="default" w:ascii="Times New Roman Bold" w:hAnsi="Times New Roman Bold" w:cs="Times New Roman Bold"/>
          <w:b/>
          <w:bCs/>
          <w:color w:val="auto"/>
          <w:sz w:val="22"/>
          <w:szCs w:val="22"/>
          <w:lang w:val="en-US" w:eastAsia="zh-CN"/>
        </w:rPr>
      </w:pPr>
      <w:r>
        <w:rPr>
          <w:rFonts w:hint="default" w:ascii="Times New Roman Bold" w:hAnsi="Times New Roman Bold" w:cs="Times New Roman Bold"/>
          <w:b/>
          <w:bCs/>
          <w:i/>
          <w:iCs/>
          <w:color w:val="auto"/>
          <w:sz w:val="22"/>
          <w:szCs w:val="22"/>
          <w:lang w:val="en-US"/>
        </w:rPr>
        <w:t>Proposal 1: Some part of Table 1 (</w:t>
      </w:r>
      <w:r>
        <w:rPr>
          <w:b/>
          <w:bCs/>
          <w:i/>
          <w:iCs/>
          <w:color w:val="auto"/>
          <w:sz w:val="22"/>
          <w:szCs w:val="22"/>
        </w:rPr>
        <w:t>summariz</w:t>
      </w:r>
      <w:r>
        <w:rPr>
          <w:rFonts w:hint="default"/>
          <w:b/>
          <w:bCs/>
          <w:i/>
          <w:iCs/>
          <w:color w:val="auto"/>
          <w:sz w:val="22"/>
          <w:szCs w:val="22"/>
          <w:lang w:val="en-US"/>
        </w:rPr>
        <w:t>ing for</w:t>
      </w:r>
      <w:r>
        <w:rPr>
          <w:b/>
          <w:bCs/>
          <w:i/>
          <w:iCs/>
          <w:color w:val="auto"/>
          <w:sz w:val="22"/>
          <w:szCs w:val="22"/>
        </w:rPr>
        <w:t xml:space="preserve"> key energy-saving features across LTE, IoT extensions, and 5G</w:t>
      </w:r>
      <w:r>
        <w:rPr>
          <w:rFonts w:hint="default" w:ascii="Times New Roman Bold" w:hAnsi="Times New Roman Bold" w:cs="Times New Roman Bold"/>
          <w:b/>
          <w:bCs/>
          <w:i/>
          <w:iCs/>
          <w:color w:val="auto"/>
          <w:sz w:val="22"/>
          <w:szCs w:val="22"/>
          <w:lang w:val="en-US"/>
        </w:rPr>
        <w:t>) shall be carefully considered to be inherited with 6G energy efficiency technologies.</w:t>
      </w:r>
    </w:p>
    <w:p w14:paraId="63847D13">
      <w:pPr>
        <w:pStyle w:val="17"/>
        <w:rPr>
          <w:rFonts w:hint="default" w:ascii="Times New Roman Bold Italic" w:hAnsi="Times New Roman Bold Italic" w:cs="Times New Roman Bold Italic"/>
          <w:b/>
          <w:bCs/>
          <w:i/>
          <w:iCs/>
          <w:color w:val="auto"/>
          <w:sz w:val="22"/>
          <w:szCs w:val="22"/>
          <w:lang w:val="en-US" w:eastAsia="zh-CN"/>
        </w:rPr>
      </w:pPr>
      <w:r>
        <w:rPr>
          <w:rFonts w:hint="default" w:ascii="Times New Roman Bold Italic" w:hAnsi="Times New Roman Bold Italic" w:cs="Times New Roman Bold Italic"/>
          <w:b/>
          <w:bCs/>
          <w:i/>
          <w:iCs/>
          <w:color w:val="auto"/>
          <w:sz w:val="22"/>
          <w:szCs w:val="22"/>
          <w:lang w:val="en-US" w:eastAsia="zh-CN"/>
        </w:rPr>
        <w:t xml:space="preserve">Proposal 2: Discussion on how to define basic capability of LPWA based on </w:t>
      </w:r>
      <w:r>
        <w:rPr>
          <w:rFonts w:hint="default" w:ascii="Times New Roman Bold Italic" w:hAnsi="Times New Roman Bold Italic" w:cs="Times New Roman Bold Italic"/>
          <w:b/>
          <w:bCs/>
          <w:i/>
          <w:iCs/>
          <w:color w:val="auto"/>
          <w:sz w:val="22"/>
          <w:szCs w:val="22"/>
          <w:lang w:val="en-US"/>
        </w:rPr>
        <w:t xml:space="preserve">different terminal types discussed in 3GPP, at least including </w:t>
      </w:r>
      <w:r>
        <w:rPr>
          <w:rFonts w:hint="default" w:ascii="Times New Roman Bold Italic" w:hAnsi="Times New Roman Bold Italic" w:cs="Times New Roman Bold Italic"/>
          <w:b/>
          <w:bCs/>
          <w:i/>
          <w:iCs/>
          <w:color w:val="auto"/>
          <w:sz w:val="22"/>
          <w:szCs w:val="22"/>
          <w:lang w:val="en-US" w:eastAsia="zh-CN"/>
        </w:rPr>
        <w:t>NB-IoT, LTE Cat-M, NR RedCapand NR eMBB.</w:t>
      </w:r>
    </w:p>
    <w:p w14:paraId="1C6F422B">
      <w:pPr>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Proposal 3: Consider whether/how to define energy efficiency parameters in 6G systems, including UE side energy efficiency or NW side energy efficiency or end-to-end (including NW+UE) energy efficiency.</w:t>
      </w:r>
    </w:p>
    <w:p w14:paraId="069D7CBD">
      <w:pPr>
        <w:numPr>
          <w:ilvl w:val="0"/>
          <w:numId w:val="0"/>
        </w:numPr>
        <w:ind w:left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Proposal 4: Discussion on </w:t>
      </w:r>
      <w:r>
        <w:rPr>
          <w:rFonts w:hint="eastAsia" w:ascii="Times New Roman Bold Italic" w:hAnsi="Times New Roman Bold Italic" w:cs="Times New Roman Bold Italic"/>
          <w:b/>
          <w:bCs/>
          <w:i/>
          <w:iCs/>
          <w:sz w:val="22"/>
          <w:szCs w:val="22"/>
          <w:lang w:val="en-US" w:eastAsia="zh-CN"/>
        </w:rPr>
        <w:t>how</w:t>
      </w:r>
      <w:r>
        <w:rPr>
          <w:rFonts w:hint="default" w:ascii="Times New Roman Bold Italic" w:hAnsi="Times New Roman Bold Italic" w:cs="Times New Roman Bold Italic"/>
          <w:b/>
          <w:bCs/>
          <w:i/>
          <w:iCs/>
          <w:sz w:val="22"/>
          <w:szCs w:val="22"/>
          <w:lang w:val="en-US" w:eastAsia="zh-CN"/>
        </w:rPr>
        <w:t xml:space="preserve"> </w:t>
      </w:r>
      <w:r>
        <w:rPr>
          <w:rFonts w:hint="eastAsia" w:ascii="Times New Roman Bold Italic" w:hAnsi="Times New Roman Bold Italic" w:cs="Times New Roman Bold Italic"/>
          <w:b/>
          <w:bCs/>
          <w:i/>
          <w:iCs/>
          <w:sz w:val="22"/>
          <w:szCs w:val="22"/>
          <w:lang w:val="en-US" w:eastAsia="zh-CN"/>
        </w:rPr>
        <w:t>to</w:t>
      </w:r>
      <w:r>
        <w:rPr>
          <w:rFonts w:hint="default" w:ascii="Times New Roman Bold Italic" w:hAnsi="Times New Roman Bold Italic" w:cs="Times New Roman Bold Italic"/>
          <w:b/>
          <w:bCs/>
          <w:i/>
          <w:iCs/>
          <w:sz w:val="22"/>
          <w:szCs w:val="22"/>
          <w:lang w:val="en-US" w:eastAsia="zh-CN"/>
        </w:rPr>
        <w:t xml:space="preserve"> include</w:t>
      </w:r>
      <w:r>
        <w:rPr>
          <w:rFonts w:hint="eastAsia" w:ascii="Times New Roman Bold Italic" w:hAnsi="Times New Roman Bold Italic" w:cs="Times New Roman Bold Italic"/>
          <w:b/>
          <w:bCs/>
          <w:i/>
          <w:iCs/>
          <w:sz w:val="22"/>
          <w:szCs w:val="22"/>
          <w:lang w:val="en-US" w:eastAsia="zh-CN"/>
        </w:rPr>
        <w:t xml:space="preserve"> the</w:t>
      </w:r>
      <w:r>
        <w:rPr>
          <w:rFonts w:hint="default" w:ascii="Times New Roman Bold Italic" w:hAnsi="Times New Roman Bold Italic" w:cs="Times New Roman Bold Italic"/>
          <w:b/>
          <w:bCs/>
          <w:i/>
          <w:iCs/>
          <w:sz w:val="22"/>
          <w:szCs w:val="22"/>
          <w:lang w:val="en-US" w:eastAsia="zh-CN"/>
        </w:rPr>
        <w:t xml:space="preserve"> impact of physical air interface design (e.g., waveform, coding, frame structure, sequence design, etc.) in 6G energy efficiency from day 1. </w:t>
      </w:r>
    </w:p>
    <w:p w14:paraId="7A2617DA">
      <w:pPr>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5</w:t>
      </w:r>
      <w:r>
        <w:rPr>
          <w:rFonts w:hint="default" w:ascii="Times New Roman Bold Italic" w:hAnsi="Times New Roman Bold Italic" w:cs="Times New Roman Bold Italic"/>
          <w:b/>
          <w:bCs/>
          <w:i/>
          <w:iCs/>
          <w:sz w:val="22"/>
          <w:szCs w:val="22"/>
          <w:lang w:eastAsia="zh-CN"/>
        </w:rPr>
        <w:t xml:space="preserve">: 6G would envision a tight UE-network collaboration for energy management and study the techniques for transmitting synchronization signals, system information, paging messages, and even control channels  </w:t>
      </w:r>
      <w:r>
        <w:rPr>
          <w:rFonts w:hint="eastAsia" w:ascii="Times New Roman Bold Italic" w:hAnsi="Times New Roman Bold Italic" w:cs="Times New Roman Bold Italic"/>
          <w:b/>
          <w:bCs/>
          <w:i/>
          <w:iCs/>
          <w:sz w:val="22"/>
          <w:szCs w:val="22"/>
          <w:lang w:val="en-US" w:eastAsia="zh-CN"/>
        </w:rPr>
        <w:t>if any</w:t>
      </w:r>
      <w:r>
        <w:rPr>
          <w:rFonts w:hint="default" w:ascii="Times New Roman Bold Italic" w:hAnsi="Times New Roman Bold Italic" w:cs="Times New Roman Bold Italic"/>
          <w:b/>
          <w:bCs/>
          <w:i/>
          <w:iCs/>
          <w:sz w:val="22"/>
          <w:szCs w:val="22"/>
          <w:lang w:eastAsia="zh-CN"/>
        </w:rPr>
        <w:t>.</w:t>
      </w:r>
    </w:p>
    <w:p w14:paraId="3E230564">
      <w:pPr>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6</w:t>
      </w:r>
      <w:r>
        <w:rPr>
          <w:rFonts w:hint="default" w:ascii="Times New Roman Bold Italic" w:hAnsi="Times New Roman Bold Italic" w:cs="Times New Roman Bold Italic"/>
          <w:b/>
          <w:bCs/>
          <w:i/>
          <w:iCs/>
          <w:sz w:val="22"/>
          <w:szCs w:val="22"/>
          <w:lang w:eastAsia="zh-CN"/>
        </w:rPr>
        <w:t>: Consider scalable frequency-domain techniques to improve energy efficiency for both device and network, including efficient multi-carrier management, BWP adaptation, flexible scheduling.</w:t>
      </w:r>
    </w:p>
    <w:p w14:paraId="298A0420">
      <w:pPr>
        <w:rPr>
          <w:rFonts w:hint="default"/>
          <w:sz w:val="22"/>
          <w:szCs w:val="22"/>
          <w:lang w:val="en-US" w:eastAsia="zh-CN"/>
        </w:rPr>
      </w:pPr>
      <w:r>
        <w:rPr>
          <w:rFonts w:hint="default"/>
          <w:b/>
          <w:bCs/>
          <w:i/>
          <w:iCs/>
          <w:sz w:val="22"/>
          <w:szCs w:val="22"/>
          <w:lang w:val="en-US" w:eastAsia="zh-CN"/>
        </w:rPr>
        <w:t xml:space="preserve">Proposal </w:t>
      </w:r>
      <w:r>
        <w:rPr>
          <w:rFonts w:hint="eastAsia"/>
          <w:b/>
          <w:bCs/>
          <w:i/>
          <w:iCs/>
          <w:sz w:val="22"/>
          <w:szCs w:val="22"/>
          <w:lang w:val="en-US" w:eastAsia="zh-CN"/>
        </w:rPr>
        <w:t>7</w:t>
      </w:r>
      <w:r>
        <w:rPr>
          <w:rFonts w:hint="default"/>
          <w:b/>
          <w:bCs/>
          <w:i/>
          <w:iCs/>
          <w:sz w:val="22"/>
          <w:szCs w:val="22"/>
          <w:lang w:val="en-US" w:eastAsia="zh-CN"/>
        </w:rPr>
        <w:t>: Discuss potential power domain transmission technologies to improve sustainability in 6G day 1, at least including lower PAPR considerations</w:t>
      </w:r>
      <w:r>
        <w:rPr>
          <w:rFonts w:hint="default" w:ascii="Times New Roman" w:hAnsi="Times New Roman" w:eastAsia="宋体" w:cs="Times New Roman"/>
          <w:b/>
          <w:bCs/>
          <w:i/>
          <w:iCs/>
          <w:sz w:val="22"/>
          <w:szCs w:val="22"/>
          <w:lang w:val="en-US" w:eastAsia="zh-CN"/>
        </w:rPr>
        <w:t xml:space="preserve">, power control considerations, AI-assisted control and expanded deep sleep for both BS and UE PAs, </w:t>
      </w:r>
      <w:r>
        <w:rPr>
          <w:rFonts w:hint="default"/>
          <w:b/>
          <w:bCs/>
          <w:i/>
          <w:iCs/>
          <w:sz w:val="22"/>
          <w:szCs w:val="22"/>
          <w:lang w:val="en-US" w:eastAsia="zh-CN"/>
        </w:rPr>
        <w:t>a</w:t>
      </w:r>
      <w:r>
        <w:rPr>
          <w:rFonts w:hint="eastAsia"/>
          <w:b/>
          <w:bCs/>
          <w:i/>
          <w:iCs/>
          <w:sz w:val="22"/>
          <w:szCs w:val="22"/>
          <w:lang w:val="en-US" w:eastAsia="zh-CN"/>
        </w:rPr>
        <w:t>daptive emi</w:t>
      </w:r>
      <w:r>
        <w:rPr>
          <w:rFonts w:hint="default"/>
          <w:b/>
          <w:bCs/>
          <w:i/>
          <w:iCs/>
          <w:sz w:val="22"/>
          <w:szCs w:val="22"/>
          <w:lang w:val="en-US" w:eastAsia="zh-CN"/>
        </w:rPr>
        <w:t>ssion masks and context-based EVM in RAN 1.</w:t>
      </w:r>
    </w:p>
    <w:p w14:paraId="26FB8D38">
      <w:pPr>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Proposal </w:t>
      </w:r>
      <w:r>
        <w:rPr>
          <w:rFonts w:hint="eastAsia" w:ascii="Times New Roman Bold Italic" w:hAnsi="Times New Roman Bold Italic" w:cs="Times New Roman Bold Italic"/>
          <w:b/>
          <w:bCs/>
          <w:i/>
          <w:iCs/>
          <w:sz w:val="22"/>
          <w:szCs w:val="22"/>
          <w:lang w:val="en-US" w:eastAsia="zh-CN"/>
        </w:rPr>
        <w:t>8</w:t>
      </w:r>
      <w:r>
        <w:rPr>
          <w:rFonts w:hint="default" w:ascii="Times New Roman Bold Italic" w:hAnsi="Times New Roman Bold Italic" w:cs="Times New Roman Bold Italic"/>
          <w:b/>
          <w:bCs/>
          <w:i/>
          <w:iCs/>
          <w:sz w:val="22"/>
          <w:szCs w:val="22"/>
          <w:lang w:val="en-US" w:eastAsia="zh-CN"/>
        </w:rPr>
        <w:t>: Discuss whether/how to consider low-power signal design in 6G day 1 for 6G energy savings.</w:t>
      </w:r>
    </w:p>
    <w:p w14:paraId="61604DB2">
      <w:pPr>
        <w:pStyle w:val="17"/>
        <w:rPr>
          <w:rFonts w:hint="default" w:ascii="Times New Roman Bold Italic" w:hAnsi="Times New Roman Bold Italic" w:cs="Times New Roman Bold Italic"/>
          <w:b/>
          <w:bCs/>
          <w:i/>
          <w:iCs/>
          <w:color w:val="auto"/>
          <w:lang w:val="en-US" w:eastAsia="zh-CN"/>
        </w:rPr>
      </w:pPr>
    </w:p>
    <w:p w14:paraId="19660F57">
      <w:pPr>
        <w:rPr>
          <w:iCs/>
          <w:lang w:eastAsia="zh-CN"/>
        </w:rPr>
      </w:pPr>
    </w:p>
    <w:p w14:paraId="4C6C2019">
      <w:pPr>
        <w:pStyle w:val="2"/>
        <w:numPr>
          <w:ilvl w:val="0"/>
          <w:numId w:val="0"/>
        </w:numPr>
        <w:ind w:left="432" w:hanging="432"/>
      </w:pPr>
      <w:bookmarkStart w:id="2" w:name="_Ref71620620"/>
      <w:bookmarkStart w:id="3" w:name="_Ref124671424"/>
      <w:bookmarkStart w:id="4" w:name="_Ref124589665"/>
      <w:r>
        <w:t>References</w:t>
      </w:r>
    </w:p>
    <w:bookmarkEnd w:id="2"/>
    <w:bookmarkEnd w:id="3"/>
    <w:bookmarkEnd w:id="4"/>
    <w:p w14:paraId="6B184462">
      <w:pPr>
        <w:pStyle w:val="38"/>
        <w:tabs>
          <w:tab w:val="left" w:pos="1778"/>
        </w:tabs>
      </w:pPr>
      <w:bookmarkStart w:id="5" w:name="_Ref162960118"/>
      <w:r>
        <w:t>RP-2</w:t>
      </w:r>
      <w:r>
        <w:rPr>
          <w:rFonts w:hint="default"/>
          <w:lang w:val="en-US"/>
        </w:rPr>
        <w:t>51881</w:t>
      </w:r>
      <w:r>
        <w:t xml:space="preserve">, </w:t>
      </w:r>
      <w:r>
        <w:rPr>
          <w:rFonts w:hint="eastAsia" w:eastAsia="宋体"/>
        </w:rPr>
        <w:t>“</w:t>
      </w:r>
      <w:r>
        <w:rPr>
          <w:rFonts w:hint="eastAsia" w:eastAsia="宋体"/>
          <w:lang w:eastAsia="zh-CN"/>
        </w:rPr>
        <w:t>New SID: Study on 6G Radio</w:t>
      </w:r>
      <w:r>
        <w:rPr>
          <w:rFonts w:hint="eastAsia" w:eastAsia="宋体"/>
        </w:rPr>
        <w:t>”</w:t>
      </w:r>
      <w:bookmarkEnd w:id="5"/>
    </w:p>
    <w:p w14:paraId="404841A8">
      <w:pPr>
        <w:pStyle w:val="38"/>
        <w:tabs>
          <w:tab w:val="left" w:pos="1778"/>
        </w:tabs>
        <w:rPr>
          <w:rFonts w:hint="eastAsia"/>
        </w:rPr>
      </w:pPr>
      <w:r>
        <w:rPr>
          <w:rFonts w:hint="eastAsia"/>
        </w:rPr>
        <w:t>3GPP TR 25.927, “Study on Solutions for Energy Saving within UTRA Node B,” Release 10.</w:t>
      </w:r>
    </w:p>
    <w:p w14:paraId="2EB69426">
      <w:pPr>
        <w:pStyle w:val="38"/>
        <w:tabs>
          <w:tab w:val="left" w:pos="1778"/>
        </w:tabs>
        <w:rPr>
          <w:rFonts w:hint="eastAsia"/>
        </w:rPr>
      </w:pPr>
      <w:r>
        <w:rPr>
          <w:rFonts w:hint="eastAsia"/>
        </w:rPr>
        <w:t>3GPP TR 36.927, “Study on Potential solutions for energy saving for E-UTRAN,” Release 10.</w:t>
      </w:r>
    </w:p>
    <w:p w14:paraId="032477B5">
      <w:pPr>
        <w:pStyle w:val="38"/>
        <w:tabs>
          <w:tab w:val="left" w:pos="1778"/>
        </w:tabs>
        <w:rPr>
          <w:rFonts w:hint="eastAsia"/>
        </w:rPr>
      </w:pPr>
      <w:r>
        <w:rPr>
          <w:rFonts w:hint="eastAsia"/>
        </w:rPr>
        <w:t>3GPP TR 36.887, “Study on Energy Saving Enhancement for E-UTRAN,” Release 12.</w:t>
      </w:r>
    </w:p>
    <w:p w14:paraId="31D73201">
      <w:pPr>
        <w:pStyle w:val="38"/>
        <w:tabs>
          <w:tab w:val="left" w:pos="1778"/>
        </w:tabs>
        <w:rPr>
          <w:rFonts w:hint="eastAsia"/>
        </w:rPr>
      </w:pPr>
      <w:r>
        <w:rPr>
          <w:rFonts w:hint="eastAsia"/>
        </w:rPr>
        <w:t>3GPP TS 36.300, “E-UTRA and E-UTRAN; Overall Description; Stage 2,” Release 12 – (contains DRX support for power saving).</w:t>
      </w:r>
    </w:p>
    <w:p w14:paraId="1DC61AF2">
      <w:pPr>
        <w:pStyle w:val="38"/>
        <w:tabs>
          <w:tab w:val="left" w:pos="1778"/>
        </w:tabs>
        <w:rPr>
          <w:rFonts w:hint="eastAsia"/>
        </w:rPr>
      </w:pPr>
      <w:r>
        <w:rPr>
          <w:rFonts w:hint="eastAsia"/>
        </w:rPr>
        <w:t>3GPP TR 32.972, “Study on system and functional aspects of energy efficiency in 5G networks,” Release 15.</w:t>
      </w:r>
    </w:p>
    <w:p w14:paraId="4B71A39E">
      <w:pPr>
        <w:pStyle w:val="38"/>
        <w:tabs>
          <w:tab w:val="left" w:pos="1778"/>
        </w:tabs>
        <w:rPr>
          <w:rFonts w:hint="eastAsia"/>
        </w:rPr>
      </w:pPr>
      <w:r>
        <w:rPr>
          <w:rFonts w:hint="eastAsia"/>
        </w:rPr>
        <w:t>3GPP TR 38.840, “Study on User Equipment (UE) Power Saving in NR,” Release 16.</w:t>
      </w:r>
    </w:p>
    <w:p w14:paraId="1BDBC925">
      <w:pPr>
        <w:pStyle w:val="38"/>
        <w:tabs>
          <w:tab w:val="left" w:pos="1778"/>
        </w:tabs>
        <w:rPr>
          <w:rFonts w:hint="eastAsia"/>
        </w:rPr>
      </w:pPr>
      <w:r>
        <w:rPr>
          <w:rFonts w:hint="eastAsia"/>
        </w:rPr>
        <w:t>3GPP TR 38.864, “Study on Network Energy Savings for NR,” Release 18</w:t>
      </w:r>
    </w:p>
    <w:p w14:paraId="0275B8AB">
      <w:pPr>
        <w:pStyle w:val="38"/>
        <w:tabs>
          <w:tab w:val="left" w:pos="1778"/>
        </w:tabs>
        <w:rPr>
          <w:rFonts w:hint="eastAsia"/>
        </w:rPr>
      </w:pPr>
      <w:r>
        <w:rPr>
          <w:rFonts w:hint="eastAsia"/>
        </w:rPr>
        <w:t>Samsung Research, “Energy Saving for 6G Network – Part I</w:t>
      </w:r>
      <w:r>
        <w:rPr>
          <w:rFonts w:hint="default"/>
          <w:lang w:val="en-US"/>
        </w:rPr>
        <w:t xml:space="preserve">”, </w:t>
      </w:r>
      <w:bookmarkStart w:id="6" w:name="_GoBack"/>
      <w:bookmarkEnd w:id="6"/>
      <w:r>
        <w:rPr>
          <w:rFonts w:hint="eastAsia"/>
        </w:rPr>
        <w:t xml:space="preserve"> 2023.</w:t>
      </w:r>
    </w:p>
    <w:p w14:paraId="3776B73A">
      <w:pPr>
        <w:pStyle w:val="38"/>
        <w:tabs>
          <w:tab w:val="left" w:pos="1778"/>
        </w:tabs>
        <w:rPr>
          <w:rFonts w:hint="eastAsia"/>
        </w:rPr>
      </w:pPr>
      <w:r>
        <w:rPr>
          <w:rFonts w:hint="default"/>
          <w:lang w:val="en-US"/>
        </w:rPr>
        <w:t xml:space="preserve"> </w:t>
      </w:r>
      <w:r>
        <w:rPr>
          <w:rFonts w:hint="eastAsia"/>
        </w:rPr>
        <w:t>Arxiv preprint: X. Lin et al., “Towards Energy Efficient RAN: From Industry Standards to Trending Technologies,” Feb. 2024.</w:t>
      </w:r>
    </w:p>
    <w:p w14:paraId="2B725576">
      <w:pPr>
        <w:pStyle w:val="38"/>
        <w:tabs>
          <w:tab w:val="left" w:pos="1778"/>
        </w:tabs>
        <w:rPr>
          <w:rFonts w:hint="eastAsia"/>
        </w:rPr>
      </w:pPr>
      <w:r>
        <w:rPr>
          <w:rFonts w:hint="default"/>
          <w:lang w:val="en-US"/>
        </w:rPr>
        <w:t xml:space="preserve"> </w:t>
      </w:r>
      <w:r>
        <w:rPr>
          <w:rFonts w:hint="eastAsia"/>
        </w:rPr>
        <w:t>GSA Whitepaper, “5G RedCap: Unlocking Reduced Capability 5G,” Apr. 2025.</w:t>
      </w:r>
    </w:p>
    <w:p w14:paraId="1D04539F">
      <w:pPr>
        <w:pStyle w:val="38"/>
        <w:tabs>
          <w:tab w:val="left" w:pos="1778"/>
        </w:tabs>
        <w:rPr>
          <w:rFonts w:hint="eastAsia"/>
        </w:rPr>
      </w:pPr>
      <w:r>
        <w:rPr>
          <w:rFonts w:hint="default"/>
          <w:lang w:val="en-US"/>
        </w:rPr>
        <w:t xml:space="preserve">  </w:t>
      </w:r>
      <w:r>
        <w:rPr>
          <w:rFonts w:hint="eastAsia"/>
        </w:rPr>
        <w:t>GPP Release 17 Description, “Release-17 Reduced Capability (RedCap) NR devices,” 3GPP</w:t>
      </w:r>
      <w:r>
        <w:rPr>
          <w:rFonts w:hint="default"/>
          <w:lang w:val="en-US"/>
        </w:rPr>
        <w:t xml:space="preserve">, </w:t>
      </w:r>
      <w:r>
        <w:rPr>
          <w:rFonts w:hint="eastAsia"/>
        </w:rPr>
        <w:t>2022.</w:t>
      </w:r>
    </w:p>
    <w:p w14:paraId="2020EF26">
      <w:pPr>
        <w:pStyle w:val="38"/>
        <w:tabs>
          <w:tab w:val="left" w:pos="1778"/>
        </w:tabs>
        <w:rPr>
          <w:rFonts w:hint="eastAsia" w:eastAsia="宋体"/>
        </w:rPr>
      </w:pPr>
      <w:r>
        <w:rPr>
          <w:rFonts w:hint="default" w:eastAsia="宋体"/>
          <w:lang w:val="en-US"/>
        </w:rPr>
        <w:t xml:space="preserve"> </w:t>
      </w:r>
      <w:r>
        <w:rPr>
          <w:rFonts w:hint="eastAsia" w:eastAsia="宋体"/>
        </w:rPr>
        <w:fldChar w:fldCharType="begin"/>
      </w:r>
      <w:r>
        <w:rPr>
          <w:rFonts w:hint="eastAsia" w:eastAsia="宋体"/>
        </w:rPr>
        <w:instrText xml:space="preserve"> HYPERLINK "https://mvno-index.com/the-differences-between-nb-iot-lte-m-and-5g-redcap/" \h </w:instrText>
      </w:r>
      <w:r>
        <w:rPr>
          <w:rFonts w:hint="eastAsia" w:eastAsia="宋体"/>
        </w:rPr>
        <w:fldChar w:fldCharType="separate"/>
      </w:r>
      <w:r>
        <w:rPr>
          <w:rFonts w:hint="eastAsia" w:eastAsia="宋体"/>
        </w:rPr>
        <w:t>https://mvno-index.com/the-differences-between-nb-iot-lte-m-and-5g-redcap/</w:t>
      </w:r>
      <w:r>
        <w:rPr>
          <w:rFonts w:hint="eastAsia" w:eastAsia="宋体"/>
        </w:rPr>
        <w:fldChar w:fldCharType="end"/>
      </w:r>
    </w:p>
    <w:p w14:paraId="3351E3B1">
      <w:pPr>
        <w:pStyle w:val="38"/>
        <w:tabs>
          <w:tab w:val="left" w:pos="1778"/>
        </w:tabs>
        <w:rPr>
          <w:rFonts w:hint="eastAsia"/>
        </w:rPr>
      </w:pPr>
      <w:r>
        <w:rPr>
          <w:rFonts w:hint="default"/>
          <w:lang w:val="en-US"/>
        </w:rPr>
        <w:t xml:space="preserve"> </w:t>
      </w:r>
      <w:r>
        <w:rPr>
          <w:rFonts w:hint="eastAsia"/>
        </w:rPr>
        <w:t>IMT Vision – Framework and overall objectives of the future development of IMT for 2020 and beyond</w:t>
      </w:r>
    </w:p>
    <w:p w14:paraId="24201AFD">
      <w:pPr>
        <w:pStyle w:val="38"/>
        <w:numPr>
          <w:ilvl w:val="0"/>
          <w:numId w:val="0"/>
        </w:numPr>
        <w:tabs>
          <w:tab w:val="left" w:pos="1778"/>
          <w:tab w:val="clear" w:pos="360"/>
        </w:tabs>
        <w:ind w:leftChars="0"/>
        <w:rPr>
          <w:rFonts w:hint="eastAsia"/>
        </w:rPr>
      </w:pPr>
      <w:r>
        <w:rPr>
          <w:rFonts w:hint="eastAsia"/>
        </w:rPr>
        <w:fldChar w:fldCharType="begin"/>
      </w:r>
      <w:r>
        <w:rPr>
          <w:rFonts w:hint="eastAsia"/>
        </w:rPr>
        <w:instrText xml:space="preserve"> HYPERLINK "https://www.itu.int/dms_pubrec/itu-r/rec/m/r-rec-m.2083-0-201509-i!!pdf-e.pdf" </w:instrText>
      </w:r>
      <w:r>
        <w:rPr>
          <w:rFonts w:hint="eastAsia"/>
        </w:rPr>
        <w:fldChar w:fldCharType="separate"/>
      </w:r>
      <w:r>
        <w:rPr>
          <w:rStyle w:val="32"/>
          <w:rFonts w:hint="eastAsia"/>
        </w:rPr>
        <w:t>https://www.itu.int/dms_pubrec/itu-r/rec/m/r-rec-m.2083-0-201509-i!!pdf-e.pdf</w:t>
      </w:r>
      <w:r>
        <w:rPr>
          <w:rFonts w:hint="eastAsia"/>
        </w:rPr>
        <w:fldChar w:fldCharType="end"/>
      </w:r>
    </w:p>
    <w:p w14:paraId="6E89569A">
      <w:pPr>
        <w:pStyle w:val="38"/>
        <w:tabs>
          <w:tab w:val="left" w:pos="1778"/>
        </w:tabs>
        <w:rPr>
          <w:rFonts w:hint="eastAsia"/>
        </w:rPr>
      </w:pPr>
      <w:r>
        <w:rPr>
          <w:rFonts w:hint="eastAsia"/>
        </w:rPr>
        <w:t>5gamericas.org</w:t>
      </w:r>
      <w:r>
        <w:rPr>
          <w:rFonts w:hint="default"/>
          <w:lang w:val="en-US"/>
        </w:rPr>
        <w:t xml:space="preserve">: </w:t>
      </w:r>
      <w:r>
        <w:rPr>
          <w:rFonts w:hint="eastAsia"/>
        </w:rPr>
        <w:fldChar w:fldCharType="begin"/>
      </w:r>
      <w:r>
        <w:rPr>
          <w:rFonts w:hint="eastAsia"/>
        </w:rPr>
        <w:instrText xml:space="preserve"> HYPERLINK "https://www.5gamericas.org/wp-content/uploads/2024/08/ITUs-IMT-2030-Vision_Id.pdf" </w:instrText>
      </w:r>
      <w:r>
        <w:rPr>
          <w:rFonts w:hint="eastAsia"/>
        </w:rPr>
        <w:fldChar w:fldCharType="separate"/>
      </w:r>
      <w:r>
        <w:rPr>
          <w:rStyle w:val="32"/>
          <w:rFonts w:hint="eastAsia"/>
        </w:rPr>
        <w:t>https://www.5gamericas.org/wp-content/uploads/2024/08/ITUs-IMT-2030-Vision_Id.pdf</w:t>
      </w:r>
      <w:r>
        <w:rPr>
          <w:rFonts w:hint="eastAsia"/>
        </w:rPr>
        <w:fldChar w:fldCharType="end"/>
      </w:r>
    </w:p>
    <w:p w14:paraId="1665A91C">
      <w:pPr>
        <w:pStyle w:val="38"/>
        <w:tabs>
          <w:tab w:val="left" w:pos="1778"/>
        </w:tabs>
        <w:rPr>
          <w:rFonts w:hint="eastAsia"/>
        </w:rPr>
      </w:pPr>
      <w:r>
        <w:t xml:space="preserve">IMT towards 2030 and beyond (IMT-2030) </w:t>
      </w:r>
    </w:p>
    <w:p w14:paraId="4FB0B3DC">
      <w:pPr>
        <w:pStyle w:val="38"/>
        <w:tabs>
          <w:tab w:val="left" w:pos="1778"/>
        </w:tabs>
        <w:rPr>
          <w:rFonts w:hint="eastAsia"/>
        </w:rPr>
      </w:pPr>
      <w:r>
        <w:rPr>
          <w:rFonts w:hint="eastAsia"/>
        </w:rPr>
        <w:t>Ahmadi, H., Rahmani, M., Chetty, S. B., Tsiropoulou, E. E., Arslan, H., Debbah, M., &amp; Quek, T. Towards Sustainability in 6G and beyond: Challenges and Opportunities of Open RAN. IEEE Communications Standards Magazine</w:t>
      </w:r>
      <w:r>
        <w:rPr>
          <w:rFonts w:hint="default"/>
          <w:lang w:val="en-US"/>
        </w:rPr>
        <w:t>, 2025</w:t>
      </w:r>
    </w:p>
    <w:p w14:paraId="1B2D40FC">
      <w:pPr>
        <w:pStyle w:val="38"/>
        <w:tabs>
          <w:tab w:val="left" w:pos="1778"/>
        </w:tabs>
      </w:pPr>
      <w:r>
        <w:rPr>
          <w:rFonts w:eastAsia="宋体"/>
        </w:rPr>
        <w:t>Reducing energy use with 5G-Advanced</w:t>
      </w:r>
      <w:r>
        <w:rPr>
          <w:rFonts w:hint="default" w:eastAsia="宋体"/>
          <w:lang w:val="en-US"/>
        </w:rPr>
        <w:t xml:space="preserve">  </w:t>
      </w:r>
      <w:r>
        <w:fldChar w:fldCharType="begin"/>
      </w:r>
      <w:r>
        <w:instrText xml:space="preserve"> HYPERLINK "https://www.nokia.com/asset/f/213599/" \h </w:instrText>
      </w:r>
      <w:r>
        <w:fldChar w:fldCharType="separate"/>
      </w:r>
      <w:r>
        <w:rPr>
          <w:rStyle w:val="32"/>
        </w:rPr>
        <w:t>https://www.nokia.com/asset/f/213599/</w:t>
      </w:r>
      <w:r>
        <w:rPr>
          <w:rStyle w:val="32"/>
        </w:rPr>
        <w:fldChar w:fldCharType="end"/>
      </w:r>
    </w:p>
    <w:p w14:paraId="456EA058">
      <w:pPr>
        <w:pStyle w:val="38"/>
        <w:tabs>
          <w:tab w:val="left" w:pos="1778"/>
        </w:tabs>
        <w:rPr>
          <w:rFonts w:hint="eastAsia" w:ascii="Times New Roman" w:hAnsi="Times New Roman" w:eastAsia="宋体" w:cs="Times New Roman"/>
        </w:rPr>
      </w:pPr>
      <w:r>
        <w:rPr>
          <w:rFonts w:hint="eastAsia" w:ascii="Times New Roman" w:hAnsi="Times New Roman" w:eastAsia="宋体" w:cs="Times New Roman"/>
        </w:rPr>
        <w:t>6G taking radio access technologies to new heights</w:t>
      </w:r>
      <w:r>
        <w:rPr>
          <w:rFonts w:hint="default" w:ascii="Times New Roman" w:hAnsi="Times New Roman" w:eastAsia="宋体" w:cs="Times New Roman"/>
          <w:lang w:val="en-US"/>
        </w:rPr>
        <w:t>:</w:t>
      </w:r>
    </w:p>
    <w:p w14:paraId="281C39F3">
      <w:pPr>
        <w:pStyle w:val="38"/>
        <w:numPr>
          <w:ilvl w:val="0"/>
          <w:numId w:val="0"/>
        </w:numPr>
        <w:tabs>
          <w:tab w:val="left" w:pos="1778"/>
          <w:tab w:val="clear" w:pos="360"/>
        </w:tabs>
        <w:ind w:leftChars="0"/>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"https://www.ericsson.com/en/blog/2025/6/6g-rat-performance-potential" \h </w:instrText>
      </w:r>
      <w:r>
        <w:rPr>
          <w:rFonts w:hint="eastAsia" w:ascii="Times New Roman" w:hAnsi="Times New Roman" w:eastAsia="宋体" w:cs="Times New Roman"/>
        </w:rPr>
        <w:fldChar w:fldCharType="separate"/>
      </w:r>
      <w:r>
        <w:rPr>
          <w:rFonts w:hint="eastAsia" w:ascii="Times New Roman" w:hAnsi="Times New Roman" w:eastAsia="宋体" w:cs="Times New Roman"/>
        </w:rPr>
        <w:t>https://www.ericsson.com/en/blog/2025/6/6g-rat-performance-potential</w:t>
      </w:r>
      <w:r>
        <w:rPr>
          <w:rFonts w:hint="eastAsia" w:ascii="Times New Roman" w:hAnsi="Times New Roman" w:eastAsia="宋体" w:cs="Times New Roman"/>
        </w:rPr>
        <w:fldChar w:fldCharType="end"/>
      </w:r>
    </w:p>
    <w:p w14:paraId="1148FAE3">
      <w:pPr>
        <w:pStyle w:val="38"/>
        <w:numPr>
          <w:ilvl w:val="0"/>
          <w:numId w:val="0"/>
        </w:numPr>
        <w:tabs>
          <w:tab w:val="left" w:pos="1778"/>
          <w:tab w:val="clear" w:pos="360"/>
        </w:tabs>
        <w:ind w:leftChars="0"/>
        <w:rPr>
          <w:rFonts w:hint="eastAsia" w:ascii="Times New Roman" w:hAnsi="Times New Roman" w:eastAsia="宋体" w:cs="Times New Roman"/>
        </w:rPr>
      </w:pPr>
    </w:p>
    <w:p w14:paraId="1B7625E6">
      <w:pPr>
        <w:pStyle w:val="38"/>
        <w:numPr>
          <w:ilvl w:val="0"/>
          <w:numId w:val="0"/>
        </w:numPr>
        <w:tabs>
          <w:tab w:val="left" w:pos="1778"/>
          <w:tab w:val="clear" w:pos="360"/>
        </w:tabs>
        <w:ind w:leftChars="0"/>
        <w:rPr>
          <w:rFonts w:hint="eastAsia"/>
        </w:rPr>
      </w:pPr>
    </w:p>
    <w:sectPr>
      <w:footerReference r:id="rId4" w:type="default"/>
      <w:type w:val="continuous"/>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S Gothic">
    <w:altName w:val="冬青黑体简体中文"/>
    <w:panose1 w:val="020B06090702050802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Malgun Gothic">
    <w:altName w:val="Apple SD Gothic Neo"/>
    <w:panose1 w:val="020B0503020000020004"/>
    <w:charset w:val="81"/>
    <w:family w:val="swiss"/>
    <w:pitch w:val="default"/>
    <w:sig w:usb0="00000000" w:usb1="00000000" w:usb2="00000012" w:usb3="00000000" w:csb0="00080001" w:csb1="00000000"/>
  </w:font>
  <w:font w:name="Times New Roman Italic">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等线KW">
    <w:panose1 w:val="01010104010101010101"/>
    <w:charset w:val="86"/>
    <w:family w:val="auto"/>
    <w:pitch w:val="default"/>
    <w:sig w:usb0="800002BF" w:usb1="004F7CFA" w:usb2="00000000" w:usb3="00000000" w:csb0="00040001" w:csb1="00000000"/>
  </w:font>
  <w:font w:name="儷宋 Pro">
    <w:panose1 w:val="02020300000000000000"/>
    <w:charset w:val="88"/>
    <w:family w:val="auto"/>
    <w:pitch w:val="default"/>
    <w:sig w:usb0="80000001" w:usb1="28091800" w:usb2="00000016" w:usb3="00000000" w:csb0="001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PingFang SC">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2654015B">
        <w:pPr>
          <w:pStyle w:val="21"/>
          <w:jc w:val="center"/>
        </w:pPr>
        <w:r>
          <w:fldChar w:fldCharType="begin"/>
        </w:r>
        <w:r>
          <w:instrText xml:space="preserve"> PAGE   \* MERGEFORMAT </w:instrText>
        </w:r>
        <w:r>
          <w:fldChar w:fldCharType="separate"/>
        </w:r>
        <w:r>
          <w:t>1</w:t>
        </w:r>
        <w:r>
          <w:fldChar w:fldCharType="end"/>
        </w:r>
      </w:p>
    </w:sdtContent>
  </w:sdt>
  <w:p w14:paraId="7FC4B9C0">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FB31A2"/>
    <w:multiLevelType w:val="singleLevel"/>
    <w:tmpl w:val="9EFB31A2"/>
    <w:lvl w:ilvl="0" w:tentative="0">
      <w:start w:val="1"/>
      <w:numFmt w:val="bullet"/>
      <w:lvlText w:val=""/>
      <w:lvlJc w:val="left"/>
      <w:pPr>
        <w:ind w:left="420" w:hanging="420"/>
      </w:pPr>
      <w:rPr>
        <w:rFonts w:hint="default" w:ascii="Wingdings" w:hAnsi="Wingdings"/>
      </w:rPr>
    </w:lvl>
  </w:abstractNum>
  <w:abstractNum w:abstractNumId="1">
    <w:nsid w:val="9FD4E20D"/>
    <w:multiLevelType w:val="singleLevel"/>
    <w:tmpl w:val="9FD4E20D"/>
    <w:lvl w:ilvl="0" w:tentative="0">
      <w:start w:val="1"/>
      <w:numFmt w:val="decimal"/>
      <w:suff w:val="space"/>
      <w:lvlText w:val="(%1)"/>
      <w:lvlJc w:val="left"/>
    </w:lvl>
  </w:abstractNum>
  <w:abstractNum w:abstractNumId="2">
    <w:nsid w:val="D0F378CF"/>
    <w:multiLevelType w:val="singleLevel"/>
    <w:tmpl w:val="D0F378CF"/>
    <w:lvl w:ilvl="0" w:tentative="0">
      <w:start w:val="1"/>
      <w:numFmt w:val="bullet"/>
      <w:lvlText w:val=""/>
      <w:lvlJc w:val="left"/>
      <w:pPr>
        <w:ind w:left="420" w:hanging="420"/>
      </w:pPr>
      <w:rPr>
        <w:rFonts w:hint="default" w:ascii="Wingdings" w:hAnsi="Wingdings"/>
      </w:rPr>
    </w:lvl>
  </w:abstractNum>
  <w:abstractNum w:abstractNumId="3">
    <w:nsid w:val="DB18ADD0"/>
    <w:multiLevelType w:val="singleLevel"/>
    <w:tmpl w:val="DB18ADD0"/>
    <w:lvl w:ilvl="0" w:tentative="0">
      <w:start w:val="1"/>
      <w:numFmt w:val="bullet"/>
      <w:lvlText w:val=""/>
      <w:lvlJc w:val="left"/>
      <w:pPr>
        <w:ind w:left="420" w:hanging="420"/>
      </w:pPr>
      <w:rPr>
        <w:rFonts w:hint="default" w:ascii="Wingdings" w:hAnsi="Wingdings"/>
      </w:rPr>
    </w:lvl>
  </w:abstractNum>
  <w:abstractNum w:abstractNumId="4">
    <w:nsid w:val="DCFE9C7F"/>
    <w:multiLevelType w:val="multilevel"/>
    <w:tmpl w:val="DCFE9C7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5">
    <w:nsid w:val="DFEAF459"/>
    <w:multiLevelType w:val="singleLevel"/>
    <w:tmpl w:val="DFEAF459"/>
    <w:lvl w:ilvl="0" w:tentative="0">
      <w:start w:val="1"/>
      <w:numFmt w:val="bullet"/>
      <w:lvlText w:val=""/>
      <w:lvlJc w:val="left"/>
      <w:pPr>
        <w:ind w:left="420" w:hanging="420"/>
      </w:pPr>
      <w:rPr>
        <w:rFonts w:hint="default" w:ascii="Wingdings" w:hAnsi="Wingdings"/>
      </w:rPr>
    </w:lvl>
  </w:abstractNum>
  <w:abstractNum w:abstractNumId="6">
    <w:nsid w:val="E8C1B9DD"/>
    <w:multiLevelType w:val="singleLevel"/>
    <w:tmpl w:val="E8C1B9DD"/>
    <w:lvl w:ilvl="0" w:tentative="0">
      <w:start w:val="1"/>
      <w:numFmt w:val="bullet"/>
      <w:lvlText w:val=""/>
      <w:lvlJc w:val="left"/>
      <w:pPr>
        <w:ind w:left="420" w:hanging="420"/>
      </w:pPr>
      <w:rPr>
        <w:rFonts w:hint="default" w:ascii="Wingdings" w:hAnsi="Wingdings"/>
      </w:rPr>
    </w:lvl>
  </w:abstractNum>
  <w:abstractNum w:abstractNumId="7">
    <w:nsid w:val="FBFEC7AC"/>
    <w:multiLevelType w:val="singleLevel"/>
    <w:tmpl w:val="FBFEC7AC"/>
    <w:lvl w:ilvl="0" w:tentative="0">
      <w:start w:val="1"/>
      <w:numFmt w:val="bullet"/>
      <w:lvlText w:val=""/>
      <w:lvlJc w:val="left"/>
      <w:pPr>
        <w:ind w:left="420" w:hanging="420"/>
      </w:pPr>
      <w:rPr>
        <w:rFonts w:hint="default" w:ascii="Wingdings" w:hAnsi="Wingdings"/>
      </w:rPr>
    </w:lvl>
  </w:abstractNum>
  <w:abstractNum w:abstractNumId="8">
    <w:nsid w:val="FDB78E7A"/>
    <w:multiLevelType w:val="singleLevel"/>
    <w:tmpl w:val="FDB78E7A"/>
    <w:lvl w:ilvl="0" w:tentative="0">
      <w:start w:val="1"/>
      <w:numFmt w:val="bullet"/>
      <w:lvlText w:val=""/>
      <w:lvlJc w:val="left"/>
      <w:pPr>
        <w:ind w:left="420" w:hanging="420"/>
      </w:pPr>
      <w:rPr>
        <w:rFonts w:hint="default" w:ascii="Wingdings" w:hAnsi="Wingdings"/>
      </w:rPr>
    </w:lvl>
  </w:abstractNum>
  <w:abstractNum w:abstractNumId="9">
    <w:nsid w:val="FFDDFF36"/>
    <w:multiLevelType w:val="singleLevel"/>
    <w:tmpl w:val="FFDDFF36"/>
    <w:lvl w:ilvl="0" w:tentative="0">
      <w:start w:val="1"/>
      <w:numFmt w:val="bullet"/>
      <w:lvlText w:val=""/>
      <w:lvlJc w:val="left"/>
      <w:pPr>
        <w:ind w:left="420" w:hanging="420"/>
      </w:pPr>
      <w:rPr>
        <w:rFonts w:hint="default" w:ascii="Wingdings" w:hAnsi="Wingdings"/>
      </w:rPr>
    </w:lvl>
  </w:abstractNum>
  <w:abstractNum w:abstractNumId="10">
    <w:nsid w:val="FFFFFF82"/>
    <w:multiLevelType w:val="singleLevel"/>
    <w:tmpl w:val="FFFFFF82"/>
    <w:lvl w:ilvl="0" w:tentative="0">
      <w:start w:val="1"/>
      <w:numFmt w:val="bullet"/>
      <w:pStyle w:val="16"/>
      <w:lvlText w:val=""/>
      <w:lvlJc w:val="left"/>
      <w:pPr>
        <w:tabs>
          <w:tab w:val="left" w:pos="1800"/>
        </w:tabs>
        <w:ind w:left="1800" w:hanging="720"/>
      </w:pPr>
      <w:rPr>
        <w:rFonts w:hint="default" w:ascii="Symbol" w:hAnsi="Symbol"/>
      </w:rPr>
    </w:lvl>
  </w:abstractNum>
  <w:abstractNum w:abstractNumId="11">
    <w:nsid w:val="FFFFFF83"/>
    <w:multiLevelType w:val="singleLevel"/>
    <w:tmpl w:val="FFFFFF83"/>
    <w:lvl w:ilvl="0" w:tentative="0">
      <w:start w:val="1"/>
      <w:numFmt w:val="bullet"/>
      <w:pStyle w:val="19"/>
      <w:lvlText w:val=""/>
      <w:lvlJc w:val="left"/>
      <w:pPr>
        <w:tabs>
          <w:tab w:val="left" w:pos="1440"/>
        </w:tabs>
        <w:ind w:left="1440" w:hanging="720"/>
      </w:pPr>
      <w:rPr>
        <w:rFonts w:hint="default" w:ascii="Symbol" w:hAnsi="Symbol"/>
      </w:rPr>
    </w:lvl>
  </w:abstractNum>
  <w:abstractNum w:abstractNumId="12">
    <w:nsid w:val="FFFFFFFE"/>
    <w:multiLevelType w:val="singleLevel"/>
    <w:tmpl w:val="FFFFFFFE"/>
    <w:lvl w:ilvl="0" w:tentative="0">
      <w:start w:val="0"/>
      <w:numFmt w:val="decimal"/>
      <w:lvlText w:val="*"/>
      <w:lvlJc w:val="left"/>
    </w:lvl>
  </w:abstractNum>
  <w:abstractNum w:abstractNumId="1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4">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15">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4B1F283C"/>
    <w:multiLevelType w:val="singleLevel"/>
    <w:tmpl w:val="4B1F283C"/>
    <w:lvl w:ilvl="0" w:tentative="0">
      <w:start w:val="1"/>
      <w:numFmt w:val="bullet"/>
      <w:pStyle w:val="51"/>
      <w:lvlText w:val=""/>
      <w:lvlJc w:val="left"/>
      <w:pPr>
        <w:tabs>
          <w:tab w:val="left" w:pos="1843"/>
        </w:tabs>
        <w:ind w:left="1843" w:hanging="425"/>
      </w:pPr>
      <w:rPr>
        <w:rFonts w:hint="default" w:ascii="Symbol" w:hAnsi="Symbol"/>
      </w:rPr>
    </w:lvl>
  </w:abstractNum>
  <w:abstractNum w:abstractNumId="17">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7C267F9C"/>
    <w:multiLevelType w:val="multilevel"/>
    <w:tmpl w:val="7C267F9C"/>
    <w:lvl w:ilvl="0" w:tentative="0">
      <w:start w:val="0"/>
      <w:numFmt w:val="bullet"/>
      <w:pStyle w:val="71"/>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3"/>
  </w:num>
  <w:num w:numId="2">
    <w:abstractNumId w:val="10"/>
  </w:num>
  <w:num w:numId="3">
    <w:abstractNumId w:val="11"/>
  </w:num>
  <w:num w:numId="4">
    <w:abstractNumId w:val="14"/>
  </w:num>
  <w:num w:numId="5">
    <w:abstractNumId w:val="16"/>
  </w:num>
  <w:num w:numId="6">
    <w:abstractNumId w:val="12"/>
    <w:lvlOverride w:ilvl="0">
      <w:lvl w:ilvl="0" w:tentative="1">
        <w:start w:val="1"/>
        <w:numFmt w:val="bullet"/>
        <w:pStyle w:val="66"/>
        <w:lvlText w:val=""/>
        <w:legacy w:legacy="1" w:legacySpace="0" w:legacyIndent="360"/>
        <w:lvlJc w:val="left"/>
        <w:pPr>
          <w:ind w:left="360" w:hanging="360"/>
        </w:pPr>
        <w:rPr>
          <w:rFonts w:hint="default" w:ascii="Symbol" w:hAnsi="Symbol"/>
        </w:rPr>
      </w:lvl>
    </w:lvlOverride>
  </w:num>
  <w:num w:numId="7">
    <w:abstractNumId w:val="18"/>
  </w:num>
  <w:num w:numId="8">
    <w:abstractNumId w:val="15"/>
  </w:num>
  <w:num w:numId="9">
    <w:abstractNumId w:val="17"/>
  </w:num>
  <w:num w:numId="10">
    <w:abstractNumId w:val="1"/>
  </w:num>
  <w:num w:numId="11">
    <w:abstractNumId w:val="0"/>
  </w:num>
  <w:num w:numId="12">
    <w:abstractNumId w:val="8"/>
  </w:num>
  <w:num w:numId="13">
    <w:abstractNumId w:val="4"/>
  </w:num>
  <w:num w:numId="14">
    <w:abstractNumId w:val="9"/>
  </w:num>
  <w:num w:numId="15">
    <w:abstractNumId w:val="6"/>
  </w:num>
  <w:num w:numId="16">
    <w:abstractNumId w:val="7"/>
  </w:num>
  <w:num w:numId="17">
    <w:abstractNumId w:val="5"/>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4E1"/>
    <w:rsid w:val="00000825"/>
    <w:rsid w:val="00000D04"/>
    <w:rsid w:val="00000DB2"/>
    <w:rsid w:val="0000195C"/>
    <w:rsid w:val="00001989"/>
    <w:rsid w:val="000020F6"/>
    <w:rsid w:val="00002893"/>
    <w:rsid w:val="00002C6C"/>
    <w:rsid w:val="000033A3"/>
    <w:rsid w:val="00003605"/>
    <w:rsid w:val="00003C56"/>
    <w:rsid w:val="00003EC2"/>
    <w:rsid w:val="000040A9"/>
    <w:rsid w:val="0000458E"/>
    <w:rsid w:val="00004CA4"/>
    <w:rsid w:val="00004E70"/>
    <w:rsid w:val="00006346"/>
    <w:rsid w:val="00006DDC"/>
    <w:rsid w:val="000072B6"/>
    <w:rsid w:val="00007813"/>
    <w:rsid w:val="00010407"/>
    <w:rsid w:val="000109E6"/>
    <w:rsid w:val="00010B42"/>
    <w:rsid w:val="00011F67"/>
    <w:rsid w:val="00012712"/>
    <w:rsid w:val="00012862"/>
    <w:rsid w:val="000128E6"/>
    <w:rsid w:val="00013016"/>
    <w:rsid w:val="000149E6"/>
    <w:rsid w:val="00015EFB"/>
    <w:rsid w:val="00016553"/>
    <w:rsid w:val="000165E2"/>
    <w:rsid w:val="00016DFD"/>
    <w:rsid w:val="000172BE"/>
    <w:rsid w:val="00017D8A"/>
    <w:rsid w:val="000203AF"/>
    <w:rsid w:val="00020EB8"/>
    <w:rsid w:val="00021595"/>
    <w:rsid w:val="000224ED"/>
    <w:rsid w:val="00022BDB"/>
    <w:rsid w:val="00022FF3"/>
    <w:rsid w:val="00023388"/>
    <w:rsid w:val="00023425"/>
    <w:rsid w:val="00023FB1"/>
    <w:rsid w:val="000241BE"/>
    <w:rsid w:val="000242F2"/>
    <w:rsid w:val="00024838"/>
    <w:rsid w:val="00024C72"/>
    <w:rsid w:val="00024C7B"/>
    <w:rsid w:val="000256F4"/>
    <w:rsid w:val="0002630F"/>
    <w:rsid w:val="00026D4B"/>
    <w:rsid w:val="00027121"/>
    <w:rsid w:val="000275C6"/>
    <w:rsid w:val="00027AD6"/>
    <w:rsid w:val="0003024C"/>
    <w:rsid w:val="000302A5"/>
    <w:rsid w:val="000312B8"/>
    <w:rsid w:val="00031ADB"/>
    <w:rsid w:val="00032056"/>
    <w:rsid w:val="000328CA"/>
    <w:rsid w:val="00032E40"/>
    <w:rsid w:val="0003376B"/>
    <w:rsid w:val="00034511"/>
    <w:rsid w:val="00034676"/>
    <w:rsid w:val="000346E6"/>
    <w:rsid w:val="0003492C"/>
    <w:rsid w:val="000352B3"/>
    <w:rsid w:val="00035317"/>
    <w:rsid w:val="00035370"/>
    <w:rsid w:val="000366FF"/>
    <w:rsid w:val="000367A7"/>
    <w:rsid w:val="000377AE"/>
    <w:rsid w:val="000378AE"/>
    <w:rsid w:val="00037F4F"/>
    <w:rsid w:val="000401B4"/>
    <w:rsid w:val="0004023E"/>
    <w:rsid w:val="0004024B"/>
    <w:rsid w:val="00040D00"/>
    <w:rsid w:val="00041C57"/>
    <w:rsid w:val="00043358"/>
    <w:rsid w:val="000434B7"/>
    <w:rsid w:val="000435E4"/>
    <w:rsid w:val="00044713"/>
    <w:rsid w:val="000449AC"/>
    <w:rsid w:val="00044AB4"/>
    <w:rsid w:val="00044F91"/>
    <w:rsid w:val="00044FEC"/>
    <w:rsid w:val="00045411"/>
    <w:rsid w:val="00046796"/>
    <w:rsid w:val="000467FD"/>
    <w:rsid w:val="00046AAF"/>
    <w:rsid w:val="00047225"/>
    <w:rsid w:val="0004747C"/>
    <w:rsid w:val="000474FA"/>
    <w:rsid w:val="00047E60"/>
    <w:rsid w:val="000507AA"/>
    <w:rsid w:val="00050860"/>
    <w:rsid w:val="00052AD2"/>
    <w:rsid w:val="00052E0B"/>
    <w:rsid w:val="000530DF"/>
    <w:rsid w:val="000532AA"/>
    <w:rsid w:val="00054E0C"/>
    <w:rsid w:val="0005541D"/>
    <w:rsid w:val="00055652"/>
    <w:rsid w:val="00055CD7"/>
    <w:rsid w:val="000565C8"/>
    <w:rsid w:val="00057DC8"/>
    <w:rsid w:val="000600BB"/>
    <w:rsid w:val="00060C8B"/>
    <w:rsid w:val="0006106C"/>
    <w:rsid w:val="000612E1"/>
    <w:rsid w:val="000614FE"/>
    <w:rsid w:val="00061D60"/>
    <w:rsid w:val="00063B36"/>
    <w:rsid w:val="0006422F"/>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268D"/>
    <w:rsid w:val="0009269B"/>
    <w:rsid w:val="000933FB"/>
    <w:rsid w:val="00093697"/>
    <w:rsid w:val="00093773"/>
    <w:rsid w:val="00093D42"/>
    <w:rsid w:val="00093DD0"/>
    <w:rsid w:val="000944A1"/>
    <w:rsid w:val="00094A16"/>
    <w:rsid w:val="00094DE6"/>
    <w:rsid w:val="00094EDF"/>
    <w:rsid w:val="00096356"/>
    <w:rsid w:val="00096420"/>
    <w:rsid w:val="00096785"/>
    <w:rsid w:val="00096AF9"/>
    <w:rsid w:val="00097437"/>
    <w:rsid w:val="00097A13"/>
    <w:rsid w:val="00097C99"/>
    <w:rsid w:val="000A01AC"/>
    <w:rsid w:val="000A0F14"/>
    <w:rsid w:val="000A1441"/>
    <w:rsid w:val="000A1A06"/>
    <w:rsid w:val="000A1B60"/>
    <w:rsid w:val="000A21B4"/>
    <w:rsid w:val="000A2CC7"/>
    <w:rsid w:val="000A2ED6"/>
    <w:rsid w:val="000A3156"/>
    <w:rsid w:val="000A354E"/>
    <w:rsid w:val="000A4205"/>
    <w:rsid w:val="000A45DE"/>
    <w:rsid w:val="000A4A19"/>
    <w:rsid w:val="000A4DBA"/>
    <w:rsid w:val="000A4FE8"/>
    <w:rsid w:val="000A50DF"/>
    <w:rsid w:val="000A56DB"/>
    <w:rsid w:val="000A56DD"/>
    <w:rsid w:val="000A5A40"/>
    <w:rsid w:val="000A6351"/>
    <w:rsid w:val="000A63D6"/>
    <w:rsid w:val="000A70C3"/>
    <w:rsid w:val="000A7B38"/>
    <w:rsid w:val="000B0343"/>
    <w:rsid w:val="000B15EB"/>
    <w:rsid w:val="000B23C6"/>
    <w:rsid w:val="000B2588"/>
    <w:rsid w:val="000B2985"/>
    <w:rsid w:val="000B2C88"/>
    <w:rsid w:val="000B3342"/>
    <w:rsid w:val="000B3AA2"/>
    <w:rsid w:val="000B51FA"/>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52B"/>
    <w:rsid w:val="000C2CA9"/>
    <w:rsid w:val="000C2FBD"/>
    <w:rsid w:val="000C301A"/>
    <w:rsid w:val="000C34A4"/>
    <w:rsid w:val="000C3A7F"/>
    <w:rsid w:val="000C3B0C"/>
    <w:rsid w:val="000C3D63"/>
    <w:rsid w:val="000C422D"/>
    <w:rsid w:val="000C4824"/>
    <w:rsid w:val="000C4ADF"/>
    <w:rsid w:val="000C4B77"/>
    <w:rsid w:val="000C5021"/>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51"/>
    <w:rsid w:val="000D59C0"/>
    <w:rsid w:val="000D5C60"/>
    <w:rsid w:val="000D71E2"/>
    <w:rsid w:val="000D73A5"/>
    <w:rsid w:val="000D7DC5"/>
    <w:rsid w:val="000E07D6"/>
    <w:rsid w:val="000E0BC6"/>
    <w:rsid w:val="000E0FD0"/>
    <w:rsid w:val="000E106A"/>
    <w:rsid w:val="000E10AD"/>
    <w:rsid w:val="000E1380"/>
    <w:rsid w:val="000E13D1"/>
    <w:rsid w:val="000E18DF"/>
    <w:rsid w:val="000E1BDE"/>
    <w:rsid w:val="000E2004"/>
    <w:rsid w:val="000E2A77"/>
    <w:rsid w:val="000E2EC1"/>
    <w:rsid w:val="000E499F"/>
    <w:rsid w:val="000E4ABA"/>
    <w:rsid w:val="000E53C0"/>
    <w:rsid w:val="000E59A0"/>
    <w:rsid w:val="000E5C63"/>
    <w:rsid w:val="000E7A84"/>
    <w:rsid w:val="000F0E23"/>
    <w:rsid w:val="000F1004"/>
    <w:rsid w:val="000F15BC"/>
    <w:rsid w:val="000F1757"/>
    <w:rsid w:val="000F180A"/>
    <w:rsid w:val="000F1C92"/>
    <w:rsid w:val="000F1F17"/>
    <w:rsid w:val="000F2A37"/>
    <w:rsid w:val="000F2EEE"/>
    <w:rsid w:val="000F3697"/>
    <w:rsid w:val="000F3909"/>
    <w:rsid w:val="000F3C7E"/>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6032"/>
    <w:rsid w:val="001067C8"/>
    <w:rsid w:val="00107037"/>
    <w:rsid w:val="00107779"/>
    <w:rsid w:val="001078C2"/>
    <w:rsid w:val="00107E1C"/>
    <w:rsid w:val="00110243"/>
    <w:rsid w:val="001104C2"/>
    <w:rsid w:val="00110F68"/>
    <w:rsid w:val="001112C4"/>
    <w:rsid w:val="00111444"/>
    <w:rsid w:val="00111723"/>
    <w:rsid w:val="001129B5"/>
    <w:rsid w:val="00112BE6"/>
    <w:rsid w:val="00113B94"/>
    <w:rsid w:val="001141E3"/>
    <w:rsid w:val="001144DF"/>
    <w:rsid w:val="001154E5"/>
    <w:rsid w:val="0011557B"/>
    <w:rsid w:val="00115F9D"/>
    <w:rsid w:val="00116739"/>
    <w:rsid w:val="00117C85"/>
    <w:rsid w:val="001205C1"/>
    <w:rsid w:val="00120B0B"/>
    <w:rsid w:val="00120B13"/>
    <w:rsid w:val="00120BD7"/>
    <w:rsid w:val="0012211B"/>
    <w:rsid w:val="00124CCA"/>
    <w:rsid w:val="00124D84"/>
    <w:rsid w:val="001250DD"/>
    <w:rsid w:val="00125733"/>
    <w:rsid w:val="001263AA"/>
    <w:rsid w:val="00126DD3"/>
    <w:rsid w:val="00127981"/>
    <w:rsid w:val="00130779"/>
    <w:rsid w:val="001307A1"/>
    <w:rsid w:val="00130D22"/>
    <w:rsid w:val="001321D3"/>
    <w:rsid w:val="00133599"/>
    <w:rsid w:val="00133BF7"/>
    <w:rsid w:val="00134B88"/>
    <w:rsid w:val="001357D2"/>
    <w:rsid w:val="00136A23"/>
    <w:rsid w:val="00136A49"/>
    <w:rsid w:val="00136B99"/>
    <w:rsid w:val="00137BCF"/>
    <w:rsid w:val="00140501"/>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47A"/>
    <w:rsid w:val="00147888"/>
    <w:rsid w:val="00151619"/>
    <w:rsid w:val="001517D2"/>
    <w:rsid w:val="00151D2A"/>
    <w:rsid w:val="001522F2"/>
    <w:rsid w:val="00152835"/>
    <w:rsid w:val="001534AA"/>
    <w:rsid w:val="00153629"/>
    <w:rsid w:val="0015368D"/>
    <w:rsid w:val="00153E26"/>
    <w:rsid w:val="001554C3"/>
    <w:rsid w:val="001559FA"/>
    <w:rsid w:val="001562BC"/>
    <w:rsid w:val="00156374"/>
    <w:rsid w:val="00156D6E"/>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C30"/>
    <w:rsid w:val="00177069"/>
    <w:rsid w:val="00177406"/>
    <w:rsid w:val="00177A1D"/>
    <w:rsid w:val="00177FC1"/>
    <w:rsid w:val="00180E50"/>
    <w:rsid w:val="0018149E"/>
    <w:rsid w:val="001815A2"/>
    <w:rsid w:val="00181FC1"/>
    <w:rsid w:val="00182EB1"/>
    <w:rsid w:val="00183034"/>
    <w:rsid w:val="001830F7"/>
    <w:rsid w:val="00183EA5"/>
    <w:rsid w:val="00183EE6"/>
    <w:rsid w:val="0018588A"/>
    <w:rsid w:val="0018688E"/>
    <w:rsid w:val="00186FB5"/>
    <w:rsid w:val="00187252"/>
    <w:rsid w:val="0019053D"/>
    <w:rsid w:val="00190B5B"/>
    <w:rsid w:val="001913CF"/>
    <w:rsid w:val="001918AA"/>
    <w:rsid w:val="00191C91"/>
    <w:rsid w:val="0019264D"/>
    <w:rsid w:val="00192DD9"/>
    <w:rsid w:val="00193CF5"/>
    <w:rsid w:val="00194339"/>
    <w:rsid w:val="00194848"/>
    <w:rsid w:val="0019500D"/>
    <w:rsid w:val="001958EA"/>
    <w:rsid w:val="00195E0E"/>
    <w:rsid w:val="0019617B"/>
    <w:rsid w:val="001972F1"/>
    <w:rsid w:val="001A04A2"/>
    <w:rsid w:val="001A05B7"/>
    <w:rsid w:val="001A0C62"/>
    <w:rsid w:val="001A0EEE"/>
    <w:rsid w:val="001A1396"/>
    <w:rsid w:val="001A180D"/>
    <w:rsid w:val="001A1BAC"/>
    <w:rsid w:val="001A1BE6"/>
    <w:rsid w:val="001A23CE"/>
    <w:rsid w:val="001A291B"/>
    <w:rsid w:val="001A2C89"/>
    <w:rsid w:val="001A2EF7"/>
    <w:rsid w:val="001A33BB"/>
    <w:rsid w:val="001A50CE"/>
    <w:rsid w:val="001A5715"/>
    <w:rsid w:val="001A59D0"/>
    <w:rsid w:val="001A5F1C"/>
    <w:rsid w:val="001A673E"/>
    <w:rsid w:val="001A7763"/>
    <w:rsid w:val="001A7844"/>
    <w:rsid w:val="001A7ED9"/>
    <w:rsid w:val="001B10F7"/>
    <w:rsid w:val="001B17C6"/>
    <w:rsid w:val="001B1EF4"/>
    <w:rsid w:val="001B3964"/>
    <w:rsid w:val="001B433D"/>
    <w:rsid w:val="001B4452"/>
    <w:rsid w:val="001B466C"/>
    <w:rsid w:val="001B4797"/>
    <w:rsid w:val="001B4F34"/>
    <w:rsid w:val="001B52EC"/>
    <w:rsid w:val="001B532E"/>
    <w:rsid w:val="001B554A"/>
    <w:rsid w:val="001B6564"/>
    <w:rsid w:val="001B691A"/>
    <w:rsid w:val="001B6D52"/>
    <w:rsid w:val="001B71CE"/>
    <w:rsid w:val="001C02D8"/>
    <w:rsid w:val="001C04E3"/>
    <w:rsid w:val="001C0A80"/>
    <w:rsid w:val="001C0AC4"/>
    <w:rsid w:val="001C0F86"/>
    <w:rsid w:val="001C1022"/>
    <w:rsid w:val="001C14E6"/>
    <w:rsid w:val="001C1BA5"/>
    <w:rsid w:val="001C1C34"/>
    <w:rsid w:val="001C2378"/>
    <w:rsid w:val="001C2A8F"/>
    <w:rsid w:val="001C2E6E"/>
    <w:rsid w:val="001C310C"/>
    <w:rsid w:val="001C39A1"/>
    <w:rsid w:val="001C3AE5"/>
    <w:rsid w:val="001C3CC5"/>
    <w:rsid w:val="001C3EE9"/>
    <w:rsid w:val="001C3FA4"/>
    <w:rsid w:val="001C40F9"/>
    <w:rsid w:val="001C44F9"/>
    <w:rsid w:val="001C458B"/>
    <w:rsid w:val="001C476F"/>
    <w:rsid w:val="001C52BE"/>
    <w:rsid w:val="001C533E"/>
    <w:rsid w:val="001C5B07"/>
    <w:rsid w:val="001C5C79"/>
    <w:rsid w:val="001C5D4F"/>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617B"/>
    <w:rsid w:val="001D6567"/>
    <w:rsid w:val="001D67B0"/>
    <w:rsid w:val="001D695C"/>
    <w:rsid w:val="001D6FD9"/>
    <w:rsid w:val="001D7389"/>
    <w:rsid w:val="001D73B7"/>
    <w:rsid w:val="001D74AD"/>
    <w:rsid w:val="001D780E"/>
    <w:rsid w:val="001E02E4"/>
    <w:rsid w:val="001E05C3"/>
    <w:rsid w:val="001E0AD3"/>
    <w:rsid w:val="001E2735"/>
    <w:rsid w:val="001E36E4"/>
    <w:rsid w:val="001E379D"/>
    <w:rsid w:val="001E3A3C"/>
    <w:rsid w:val="001E5107"/>
    <w:rsid w:val="001E557D"/>
    <w:rsid w:val="001E56DB"/>
    <w:rsid w:val="001E5C23"/>
    <w:rsid w:val="001E6DE4"/>
    <w:rsid w:val="001E7504"/>
    <w:rsid w:val="001E76DF"/>
    <w:rsid w:val="001E7842"/>
    <w:rsid w:val="001F02AA"/>
    <w:rsid w:val="001F09A2"/>
    <w:rsid w:val="001F0DCE"/>
    <w:rsid w:val="001F1308"/>
    <w:rsid w:val="001F1525"/>
    <w:rsid w:val="001F1E87"/>
    <w:rsid w:val="001F1EB6"/>
    <w:rsid w:val="001F2059"/>
    <w:rsid w:val="001F2E23"/>
    <w:rsid w:val="001F341F"/>
    <w:rsid w:val="001F3911"/>
    <w:rsid w:val="001F3F1A"/>
    <w:rsid w:val="001F4658"/>
    <w:rsid w:val="001F4CBD"/>
    <w:rsid w:val="001F5545"/>
    <w:rsid w:val="001F5777"/>
    <w:rsid w:val="001F5937"/>
    <w:rsid w:val="001F59E3"/>
    <w:rsid w:val="001F59ED"/>
    <w:rsid w:val="001F6A7F"/>
    <w:rsid w:val="001F70E2"/>
    <w:rsid w:val="001F7121"/>
    <w:rsid w:val="00200D2C"/>
    <w:rsid w:val="002019D8"/>
    <w:rsid w:val="00201EC7"/>
    <w:rsid w:val="00202056"/>
    <w:rsid w:val="00203227"/>
    <w:rsid w:val="0020349A"/>
    <w:rsid w:val="002034B4"/>
    <w:rsid w:val="00203621"/>
    <w:rsid w:val="002038BC"/>
    <w:rsid w:val="00204032"/>
    <w:rsid w:val="0020423B"/>
    <w:rsid w:val="002048A7"/>
    <w:rsid w:val="00204AFF"/>
    <w:rsid w:val="00204BAD"/>
    <w:rsid w:val="00204D60"/>
    <w:rsid w:val="0020526A"/>
    <w:rsid w:val="002052E4"/>
    <w:rsid w:val="00205415"/>
    <w:rsid w:val="00205627"/>
    <w:rsid w:val="002056D0"/>
    <w:rsid w:val="002066CC"/>
    <w:rsid w:val="00210691"/>
    <w:rsid w:val="00210696"/>
    <w:rsid w:val="00210860"/>
    <w:rsid w:val="0021089E"/>
    <w:rsid w:val="00210B6A"/>
    <w:rsid w:val="00210BAB"/>
    <w:rsid w:val="00211FE3"/>
    <w:rsid w:val="0021270D"/>
    <w:rsid w:val="00212CB6"/>
    <w:rsid w:val="00212E37"/>
    <w:rsid w:val="0021380B"/>
    <w:rsid w:val="002140FF"/>
    <w:rsid w:val="00214E88"/>
    <w:rsid w:val="002168AD"/>
    <w:rsid w:val="00216FD7"/>
    <w:rsid w:val="002206E0"/>
    <w:rsid w:val="00220894"/>
    <w:rsid w:val="00221AD0"/>
    <w:rsid w:val="00223792"/>
    <w:rsid w:val="00224952"/>
    <w:rsid w:val="00224DD2"/>
    <w:rsid w:val="00225468"/>
    <w:rsid w:val="00225A6A"/>
    <w:rsid w:val="00225AC7"/>
    <w:rsid w:val="00225ACC"/>
    <w:rsid w:val="00226637"/>
    <w:rsid w:val="00226BC8"/>
    <w:rsid w:val="0022756D"/>
    <w:rsid w:val="00227800"/>
    <w:rsid w:val="00231C25"/>
    <w:rsid w:val="00231C6F"/>
    <w:rsid w:val="00232058"/>
    <w:rsid w:val="00232A90"/>
    <w:rsid w:val="00232AD9"/>
    <w:rsid w:val="00233297"/>
    <w:rsid w:val="00233A3E"/>
    <w:rsid w:val="00234151"/>
    <w:rsid w:val="00234513"/>
    <w:rsid w:val="00234F8C"/>
    <w:rsid w:val="00235542"/>
    <w:rsid w:val="002356D7"/>
    <w:rsid w:val="00235EA5"/>
    <w:rsid w:val="002369B0"/>
    <w:rsid w:val="00236AD8"/>
    <w:rsid w:val="00237C82"/>
    <w:rsid w:val="002401F5"/>
    <w:rsid w:val="00240E54"/>
    <w:rsid w:val="00241A47"/>
    <w:rsid w:val="00241C20"/>
    <w:rsid w:val="002423CE"/>
    <w:rsid w:val="00242C26"/>
    <w:rsid w:val="00244A02"/>
    <w:rsid w:val="002451C5"/>
    <w:rsid w:val="00245F1F"/>
    <w:rsid w:val="002465F4"/>
    <w:rsid w:val="0024663B"/>
    <w:rsid w:val="00246EA0"/>
    <w:rsid w:val="00247103"/>
    <w:rsid w:val="002478C3"/>
    <w:rsid w:val="00250067"/>
    <w:rsid w:val="002501A9"/>
    <w:rsid w:val="002507D4"/>
    <w:rsid w:val="0025132A"/>
    <w:rsid w:val="002516DE"/>
    <w:rsid w:val="00251F81"/>
    <w:rsid w:val="00252BE0"/>
    <w:rsid w:val="002531AD"/>
    <w:rsid w:val="00253588"/>
    <w:rsid w:val="002544D4"/>
    <w:rsid w:val="002546F4"/>
    <w:rsid w:val="002551D0"/>
    <w:rsid w:val="00255374"/>
    <w:rsid w:val="00255D09"/>
    <w:rsid w:val="00256F03"/>
    <w:rsid w:val="00257BF4"/>
    <w:rsid w:val="00260003"/>
    <w:rsid w:val="0026035D"/>
    <w:rsid w:val="002606D6"/>
    <w:rsid w:val="002611ED"/>
    <w:rsid w:val="0026173F"/>
    <w:rsid w:val="00261C98"/>
    <w:rsid w:val="0026248E"/>
    <w:rsid w:val="00262914"/>
    <w:rsid w:val="002647BF"/>
    <w:rsid w:val="002647D5"/>
    <w:rsid w:val="002649D0"/>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95D"/>
    <w:rsid w:val="0027257C"/>
    <w:rsid w:val="002726B0"/>
    <w:rsid w:val="00272A05"/>
    <w:rsid w:val="00272B03"/>
    <w:rsid w:val="002733E2"/>
    <w:rsid w:val="002750B1"/>
    <w:rsid w:val="00275AE9"/>
    <w:rsid w:val="002768ED"/>
    <w:rsid w:val="00276A35"/>
    <w:rsid w:val="00277835"/>
    <w:rsid w:val="00280AB1"/>
    <w:rsid w:val="00280D7D"/>
    <w:rsid w:val="002836D7"/>
    <w:rsid w:val="00284BAE"/>
    <w:rsid w:val="002859AF"/>
    <w:rsid w:val="00285FA2"/>
    <w:rsid w:val="0028608C"/>
    <w:rsid w:val="002862E3"/>
    <w:rsid w:val="00286AE7"/>
    <w:rsid w:val="00287243"/>
    <w:rsid w:val="00287D79"/>
    <w:rsid w:val="002903AD"/>
    <w:rsid w:val="00290647"/>
    <w:rsid w:val="00290FF3"/>
    <w:rsid w:val="00291385"/>
    <w:rsid w:val="00291422"/>
    <w:rsid w:val="0029237F"/>
    <w:rsid w:val="00292715"/>
    <w:rsid w:val="0029329F"/>
    <w:rsid w:val="0029334E"/>
    <w:rsid w:val="00293446"/>
    <w:rsid w:val="00293B0A"/>
    <w:rsid w:val="00293E57"/>
    <w:rsid w:val="0029469B"/>
    <w:rsid w:val="002947D1"/>
    <w:rsid w:val="00294814"/>
    <w:rsid w:val="002948DF"/>
    <w:rsid w:val="00294D90"/>
    <w:rsid w:val="00294F91"/>
    <w:rsid w:val="00295E7E"/>
    <w:rsid w:val="00296125"/>
    <w:rsid w:val="002966B8"/>
    <w:rsid w:val="002974E4"/>
    <w:rsid w:val="002A0B75"/>
    <w:rsid w:val="002A10A6"/>
    <w:rsid w:val="002A1234"/>
    <w:rsid w:val="002A1E92"/>
    <w:rsid w:val="002A204D"/>
    <w:rsid w:val="002A2616"/>
    <w:rsid w:val="002A26E1"/>
    <w:rsid w:val="002A275F"/>
    <w:rsid w:val="002A368A"/>
    <w:rsid w:val="002A4065"/>
    <w:rsid w:val="002A471F"/>
    <w:rsid w:val="002A4FD8"/>
    <w:rsid w:val="002A59F0"/>
    <w:rsid w:val="002A5E54"/>
    <w:rsid w:val="002A62CB"/>
    <w:rsid w:val="002A63BF"/>
    <w:rsid w:val="002A6432"/>
    <w:rsid w:val="002A6F25"/>
    <w:rsid w:val="002A6FD3"/>
    <w:rsid w:val="002B0A7D"/>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BDC"/>
    <w:rsid w:val="002B6CCC"/>
    <w:rsid w:val="002B75B0"/>
    <w:rsid w:val="002B7EAF"/>
    <w:rsid w:val="002C099C"/>
    <w:rsid w:val="002C0B74"/>
    <w:rsid w:val="002C0C8B"/>
    <w:rsid w:val="002C0CBB"/>
    <w:rsid w:val="002C1201"/>
    <w:rsid w:val="002C1460"/>
    <w:rsid w:val="002C15DC"/>
    <w:rsid w:val="002C20F2"/>
    <w:rsid w:val="002C35E0"/>
    <w:rsid w:val="002C38B2"/>
    <w:rsid w:val="002C3C28"/>
    <w:rsid w:val="002C3F9C"/>
    <w:rsid w:val="002C535F"/>
    <w:rsid w:val="002C568E"/>
    <w:rsid w:val="002C5930"/>
    <w:rsid w:val="002C5AFA"/>
    <w:rsid w:val="002C5B4E"/>
    <w:rsid w:val="002C70BA"/>
    <w:rsid w:val="002C793C"/>
    <w:rsid w:val="002C7C79"/>
    <w:rsid w:val="002D0439"/>
    <w:rsid w:val="002D0670"/>
    <w:rsid w:val="002D0766"/>
    <w:rsid w:val="002D11B7"/>
    <w:rsid w:val="002D3BBC"/>
    <w:rsid w:val="002D438A"/>
    <w:rsid w:val="002D5738"/>
    <w:rsid w:val="002D5E53"/>
    <w:rsid w:val="002D66D7"/>
    <w:rsid w:val="002D770A"/>
    <w:rsid w:val="002D7D83"/>
    <w:rsid w:val="002E0319"/>
    <w:rsid w:val="002E1691"/>
    <w:rsid w:val="002E179B"/>
    <w:rsid w:val="002E1C9E"/>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F9"/>
    <w:rsid w:val="003066E4"/>
    <w:rsid w:val="00306B15"/>
    <w:rsid w:val="00306DB6"/>
    <w:rsid w:val="00306E6B"/>
    <w:rsid w:val="00307BE8"/>
    <w:rsid w:val="003100C8"/>
    <w:rsid w:val="00310188"/>
    <w:rsid w:val="00310426"/>
    <w:rsid w:val="00310467"/>
    <w:rsid w:val="00310581"/>
    <w:rsid w:val="00311161"/>
    <w:rsid w:val="00312220"/>
    <w:rsid w:val="00312400"/>
    <w:rsid w:val="00312739"/>
    <w:rsid w:val="00312D10"/>
    <w:rsid w:val="00313D21"/>
    <w:rsid w:val="00313DDF"/>
    <w:rsid w:val="00313F61"/>
    <w:rsid w:val="00315EBF"/>
    <w:rsid w:val="00315FAB"/>
    <w:rsid w:val="00316272"/>
    <w:rsid w:val="003164E4"/>
    <w:rsid w:val="003169DC"/>
    <w:rsid w:val="003178DA"/>
    <w:rsid w:val="00317DB8"/>
    <w:rsid w:val="00320618"/>
    <w:rsid w:val="00320F71"/>
    <w:rsid w:val="0032100B"/>
    <w:rsid w:val="00321BD7"/>
    <w:rsid w:val="0032260F"/>
    <w:rsid w:val="00322613"/>
    <w:rsid w:val="003228DA"/>
    <w:rsid w:val="00323437"/>
    <w:rsid w:val="00323486"/>
    <w:rsid w:val="00323D6B"/>
    <w:rsid w:val="00324250"/>
    <w:rsid w:val="00326957"/>
    <w:rsid w:val="00326AE2"/>
    <w:rsid w:val="00331426"/>
    <w:rsid w:val="0033171D"/>
    <w:rsid w:val="0033197D"/>
    <w:rsid w:val="00331FC3"/>
    <w:rsid w:val="00332303"/>
    <w:rsid w:val="00332E75"/>
    <w:rsid w:val="003336B3"/>
    <w:rsid w:val="00334245"/>
    <w:rsid w:val="00335B75"/>
    <w:rsid w:val="00335D8C"/>
    <w:rsid w:val="00336072"/>
    <w:rsid w:val="003363A1"/>
    <w:rsid w:val="003365B1"/>
    <w:rsid w:val="003365B7"/>
    <w:rsid w:val="00336AA6"/>
    <w:rsid w:val="00337704"/>
    <w:rsid w:val="0034052D"/>
    <w:rsid w:val="003406F0"/>
    <w:rsid w:val="0034149C"/>
    <w:rsid w:val="0034161D"/>
    <w:rsid w:val="00341ECE"/>
    <w:rsid w:val="0034226D"/>
    <w:rsid w:val="00342972"/>
    <w:rsid w:val="00342F49"/>
    <w:rsid w:val="00342FDD"/>
    <w:rsid w:val="0034429B"/>
    <w:rsid w:val="00344866"/>
    <w:rsid w:val="003457C0"/>
    <w:rsid w:val="00345B16"/>
    <w:rsid w:val="00345EA5"/>
    <w:rsid w:val="0034638C"/>
    <w:rsid w:val="00346F7F"/>
    <w:rsid w:val="003477F0"/>
    <w:rsid w:val="00347ED3"/>
    <w:rsid w:val="00350108"/>
    <w:rsid w:val="00350762"/>
    <w:rsid w:val="003507C4"/>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792"/>
    <w:rsid w:val="00360232"/>
    <w:rsid w:val="003602E0"/>
    <w:rsid w:val="00360750"/>
    <w:rsid w:val="00360D01"/>
    <w:rsid w:val="00360F3F"/>
    <w:rsid w:val="00362415"/>
    <w:rsid w:val="00362569"/>
    <w:rsid w:val="003631D2"/>
    <w:rsid w:val="003633F1"/>
    <w:rsid w:val="00363642"/>
    <w:rsid w:val="003636CD"/>
    <w:rsid w:val="003637A2"/>
    <w:rsid w:val="0036487C"/>
    <w:rsid w:val="00365411"/>
    <w:rsid w:val="00365505"/>
    <w:rsid w:val="00365A4A"/>
    <w:rsid w:val="00365FA2"/>
    <w:rsid w:val="00366212"/>
    <w:rsid w:val="00366878"/>
    <w:rsid w:val="00366C69"/>
    <w:rsid w:val="003672DE"/>
    <w:rsid w:val="00367441"/>
    <w:rsid w:val="003679CC"/>
    <w:rsid w:val="00367B1D"/>
    <w:rsid w:val="00367D98"/>
    <w:rsid w:val="003709AE"/>
    <w:rsid w:val="00370E4F"/>
    <w:rsid w:val="00371215"/>
    <w:rsid w:val="00371A4F"/>
    <w:rsid w:val="0037205C"/>
    <w:rsid w:val="00372C68"/>
    <w:rsid w:val="00372F0D"/>
    <w:rsid w:val="0037366F"/>
    <w:rsid w:val="00373F18"/>
    <w:rsid w:val="00374059"/>
    <w:rsid w:val="0037535B"/>
    <w:rsid w:val="0037552D"/>
    <w:rsid w:val="003756DB"/>
    <w:rsid w:val="00375722"/>
    <w:rsid w:val="00376811"/>
    <w:rsid w:val="00376D7F"/>
    <w:rsid w:val="003770BB"/>
    <w:rsid w:val="0037739C"/>
    <w:rsid w:val="003773CF"/>
    <w:rsid w:val="0037771A"/>
    <w:rsid w:val="00377DFA"/>
    <w:rsid w:val="003802DC"/>
    <w:rsid w:val="003806B9"/>
    <w:rsid w:val="00380BB9"/>
    <w:rsid w:val="00380E4E"/>
    <w:rsid w:val="00380FBF"/>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2A0A"/>
    <w:rsid w:val="00393448"/>
    <w:rsid w:val="0039366B"/>
    <w:rsid w:val="003940CE"/>
    <w:rsid w:val="003942F3"/>
    <w:rsid w:val="003957FD"/>
    <w:rsid w:val="00395F62"/>
    <w:rsid w:val="003970A2"/>
    <w:rsid w:val="00397C1D"/>
    <w:rsid w:val="003A180F"/>
    <w:rsid w:val="003A18DD"/>
    <w:rsid w:val="003A20C8"/>
    <w:rsid w:val="003A2C29"/>
    <w:rsid w:val="003A2EC3"/>
    <w:rsid w:val="003A36F2"/>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1012"/>
    <w:rsid w:val="003C11C9"/>
    <w:rsid w:val="003C1229"/>
    <w:rsid w:val="003C1FD4"/>
    <w:rsid w:val="003C213D"/>
    <w:rsid w:val="003C2400"/>
    <w:rsid w:val="003C25AD"/>
    <w:rsid w:val="003C299C"/>
    <w:rsid w:val="003C2B75"/>
    <w:rsid w:val="003C2D21"/>
    <w:rsid w:val="003C2F15"/>
    <w:rsid w:val="003C3301"/>
    <w:rsid w:val="003C4510"/>
    <w:rsid w:val="003C45F2"/>
    <w:rsid w:val="003C48B8"/>
    <w:rsid w:val="003C4B55"/>
    <w:rsid w:val="003C5A5F"/>
    <w:rsid w:val="003C5E6B"/>
    <w:rsid w:val="003C631A"/>
    <w:rsid w:val="003C7AD7"/>
    <w:rsid w:val="003C7BC2"/>
    <w:rsid w:val="003D0A97"/>
    <w:rsid w:val="003D0FC3"/>
    <w:rsid w:val="003D27E3"/>
    <w:rsid w:val="003D2C1D"/>
    <w:rsid w:val="003D2C34"/>
    <w:rsid w:val="003D3DDD"/>
    <w:rsid w:val="003D41FF"/>
    <w:rsid w:val="003D427A"/>
    <w:rsid w:val="003D4547"/>
    <w:rsid w:val="003D5CBF"/>
    <w:rsid w:val="003D66D2"/>
    <w:rsid w:val="003E012A"/>
    <w:rsid w:val="003E07AE"/>
    <w:rsid w:val="003E089C"/>
    <w:rsid w:val="003E0AE6"/>
    <w:rsid w:val="003E10E2"/>
    <w:rsid w:val="003E14FC"/>
    <w:rsid w:val="003E27B7"/>
    <w:rsid w:val="003E2976"/>
    <w:rsid w:val="003E347E"/>
    <w:rsid w:val="003E40FD"/>
    <w:rsid w:val="003E4858"/>
    <w:rsid w:val="003E4917"/>
    <w:rsid w:val="003E4A6B"/>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6C4"/>
    <w:rsid w:val="003F6CD2"/>
    <w:rsid w:val="003F788D"/>
    <w:rsid w:val="0040083F"/>
    <w:rsid w:val="0040126E"/>
    <w:rsid w:val="00401A8C"/>
    <w:rsid w:val="004020D4"/>
    <w:rsid w:val="004021B6"/>
    <w:rsid w:val="004036FC"/>
    <w:rsid w:val="00403E5E"/>
    <w:rsid w:val="00403EA4"/>
    <w:rsid w:val="004047BE"/>
    <w:rsid w:val="004047C4"/>
    <w:rsid w:val="0040570B"/>
    <w:rsid w:val="00405AC1"/>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A30"/>
    <w:rsid w:val="00415D76"/>
    <w:rsid w:val="00416665"/>
    <w:rsid w:val="00416A67"/>
    <w:rsid w:val="00416ACB"/>
    <w:rsid w:val="00416F75"/>
    <w:rsid w:val="00417296"/>
    <w:rsid w:val="0041737A"/>
    <w:rsid w:val="004202DF"/>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13A"/>
    <w:rsid w:val="0043215C"/>
    <w:rsid w:val="00432A2C"/>
    <w:rsid w:val="004330F4"/>
    <w:rsid w:val="00433590"/>
    <w:rsid w:val="004336E0"/>
    <w:rsid w:val="00433753"/>
    <w:rsid w:val="004338EA"/>
    <w:rsid w:val="0043393D"/>
    <w:rsid w:val="004344C7"/>
    <w:rsid w:val="00434E85"/>
    <w:rsid w:val="00434F83"/>
    <w:rsid w:val="00435274"/>
    <w:rsid w:val="004352AD"/>
    <w:rsid w:val="0043545D"/>
    <w:rsid w:val="00435906"/>
    <w:rsid w:val="00435FE2"/>
    <w:rsid w:val="00436E2F"/>
    <w:rsid w:val="00436EAB"/>
    <w:rsid w:val="00436EFD"/>
    <w:rsid w:val="00436F22"/>
    <w:rsid w:val="00437AC9"/>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5D3"/>
    <w:rsid w:val="00453BB6"/>
    <w:rsid w:val="00453C7C"/>
    <w:rsid w:val="00453CAA"/>
    <w:rsid w:val="00454058"/>
    <w:rsid w:val="00454C1A"/>
    <w:rsid w:val="00455113"/>
    <w:rsid w:val="00455547"/>
    <w:rsid w:val="00455DB1"/>
    <w:rsid w:val="00455E16"/>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6532"/>
    <w:rsid w:val="00466C53"/>
    <w:rsid w:val="00467488"/>
    <w:rsid w:val="00467A55"/>
    <w:rsid w:val="0047083E"/>
    <w:rsid w:val="00470EB5"/>
    <w:rsid w:val="0047286B"/>
    <w:rsid w:val="00472E27"/>
    <w:rsid w:val="00473941"/>
    <w:rsid w:val="00474220"/>
    <w:rsid w:val="004752D3"/>
    <w:rsid w:val="004754E1"/>
    <w:rsid w:val="00475CE0"/>
    <w:rsid w:val="00476827"/>
    <w:rsid w:val="00476BD4"/>
    <w:rsid w:val="00477C35"/>
    <w:rsid w:val="00480033"/>
    <w:rsid w:val="00480053"/>
    <w:rsid w:val="004802AE"/>
    <w:rsid w:val="00480988"/>
    <w:rsid w:val="00480E05"/>
    <w:rsid w:val="00481F80"/>
    <w:rsid w:val="0048270A"/>
    <w:rsid w:val="00482B13"/>
    <w:rsid w:val="00482BBE"/>
    <w:rsid w:val="00483A12"/>
    <w:rsid w:val="00483EF7"/>
    <w:rsid w:val="00484A77"/>
    <w:rsid w:val="0048540F"/>
    <w:rsid w:val="004857C8"/>
    <w:rsid w:val="00485970"/>
    <w:rsid w:val="00485C0D"/>
    <w:rsid w:val="00486575"/>
    <w:rsid w:val="004866D0"/>
    <w:rsid w:val="00486936"/>
    <w:rsid w:val="004872C5"/>
    <w:rsid w:val="004873B3"/>
    <w:rsid w:val="00487658"/>
    <w:rsid w:val="00487CBE"/>
    <w:rsid w:val="00491224"/>
    <w:rsid w:val="00491446"/>
    <w:rsid w:val="00491679"/>
    <w:rsid w:val="00491D93"/>
    <w:rsid w:val="00492071"/>
    <w:rsid w:val="00492111"/>
    <w:rsid w:val="00492459"/>
    <w:rsid w:val="0049291B"/>
    <w:rsid w:val="00494242"/>
    <w:rsid w:val="004943A4"/>
    <w:rsid w:val="00494E8E"/>
    <w:rsid w:val="004953F5"/>
    <w:rsid w:val="004954CC"/>
    <w:rsid w:val="004955BC"/>
    <w:rsid w:val="004958BB"/>
    <w:rsid w:val="00495D63"/>
    <w:rsid w:val="00495FBE"/>
    <w:rsid w:val="0049648F"/>
    <w:rsid w:val="00496606"/>
    <w:rsid w:val="00496E6D"/>
    <w:rsid w:val="00496F05"/>
    <w:rsid w:val="00497370"/>
    <w:rsid w:val="004973A0"/>
    <w:rsid w:val="00497425"/>
    <w:rsid w:val="004A0F2E"/>
    <w:rsid w:val="004A0F39"/>
    <w:rsid w:val="004A1E49"/>
    <w:rsid w:val="004A251F"/>
    <w:rsid w:val="004A2704"/>
    <w:rsid w:val="004A3BF1"/>
    <w:rsid w:val="004A3E42"/>
    <w:rsid w:val="004A446C"/>
    <w:rsid w:val="004A4715"/>
    <w:rsid w:val="004A5046"/>
    <w:rsid w:val="004A565E"/>
    <w:rsid w:val="004A5DF3"/>
    <w:rsid w:val="004A6134"/>
    <w:rsid w:val="004A62CF"/>
    <w:rsid w:val="004A6CE3"/>
    <w:rsid w:val="004A6E47"/>
    <w:rsid w:val="004A7092"/>
    <w:rsid w:val="004A73C2"/>
    <w:rsid w:val="004A7AEC"/>
    <w:rsid w:val="004B063C"/>
    <w:rsid w:val="004B07A5"/>
    <w:rsid w:val="004B1314"/>
    <w:rsid w:val="004B2153"/>
    <w:rsid w:val="004B2570"/>
    <w:rsid w:val="004B29CC"/>
    <w:rsid w:val="004B3C24"/>
    <w:rsid w:val="004B3FD1"/>
    <w:rsid w:val="004B4053"/>
    <w:rsid w:val="004B4059"/>
    <w:rsid w:val="004B4707"/>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40CE"/>
    <w:rsid w:val="004D47B1"/>
    <w:rsid w:val="004D55E1"/>
    <w:rsid w:val="004D57A7"/>
    <w:rsid w:val="004D5DF1"/>
    <w:rsid w:val="004D6A3E"/>
    <w:rsid w:val="004D6F4D"/>
    <w:rsid w:val="004D6F95"/>
    <w:rsid w:val="004D72FE"/>
    <w:rsid w:val="004D733C"/>
    <w:rsid w:val="004D7E91"/>
    <w:rsid w:val="004D7F94"/>
    <w:rsid w:val="004E003A"/>
    <w:rsid w:val="004E00E5"/>
    <w:rsid w:val="004E0768"/>
    <w:rsid w:val="004E1099"/>
    <w:rsid w:val="004E185B"/>
    <w:rsid w:val="004E1A31"/>
    <w:rsid w:val="004E2024"/>
    <w:rsid w:val="004E23AD"/>
    <w:rsid w:val="004E2DE0"/>
    <w:rsid w:val="004E36D6"/>
    <w:rsid w:val="004E3C80"/>
    <w:rsid w:val="004E4060"/>
    <w:rsid w:val="004E409A"/>
    <w:rsid w:val="004E6EB8"/>
    <w:rsid w:val="004E6F3F"/>
    <w:rsid w:val="004E792A"/>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10D69"/>
    <w:rsid w:val="00511960"/>
    <w:rsid w:val="00511F15"/>
    <w:rsid w:val="005124EF"/>
    <w:rsid w:val="00512563"/>
    <w:rsid w:val="00512B26"/>
    <w:rsid w:val="0051318C"/>
    <w:rsid w:val="0051359A"/>
    <w:rsid w:val="00513E27"/>
    <w:rsid w:val="005142CD"/>
    <w:rsid w:val="005142D3"/>
    <w:rsid w:val="005143C9"/>
    <w:rsid w:val="005156E5"/>
    <w:rsid w:val="005157A9"/>
    <w:rsid w:val="00516321"/>
    <w:rsid w:val="005173A7"/>
    <w:rsid w:val="005177E1"/>
    <w:rsid w:val="00520B04"/>
    <w:rsid w:val="00520C02"/>
    <w:rsid w:val="00520C0A"/>
    <w:rsid w:val="005215DB"/>
    <w:rsid w:val="005218B6"/>
    <w:rsid w:val="00521B01"/>
    <w:rsid w:val="00521CB7"/>
    <w:rsid w:val="00522589"/>
    <w:rsid w:val="00522D2C"/>
    <w:rsid w:val="00523111"/>
    <w:rsid w:val="00524545"/>
    <w:rsid w:val="0052477A"/>
    <w:rsid w:val="00524887"/>
    <w:rsid w:val="005248A9"/>
    <w:rsid w:val="005255BF"/>
    <w:rsid w:val="005257DE"/>
    <w:rsid w:val="00527200"/>
    <w:rsid w:val="0052726F"/>
    <w:rsid w:val="00530157"/>
    <w:rsid w:val="00530473"/>
    <w:rsid w:val="00531EBE"/>
    <w:rsid w:val="005325B0"/>
    <w:rsid w:val="00532A3A"/>
    <w:rsid w:val="00532F8B"/>
    <w:rsid w:val="005331D4"/>
    <w:rsid w:val="0053347A"/>
    <w:rsid w:val="00533737"/>
    <w:rsid w:val="00534B0B"/>
    <w:rsid w:val="00535197"/>
    <w:rsid w:val="00535597"/>
    <w:rsid w:val="00535B79"/>
    <w:rsid w:val="00535D7C"/>
    <w:rsid w:val="00536579"/>
    <w:rsid w:val="00536C1E"/>
    <w:rsid w:val="00537293"/>
    <w:rsid w:val="00537471"/>
    <w:rsid w:val="00537666"/>
    <w:rsid w:val="005376DA"/>
    <w:rsid w:val="00537813"/>
    <w:rsid w:val="00537BE9"/>
    <w:rsid w:val="00541C06"/>
    <w:rsid w:val="00541D0B"/>
    <w:rsid w:val="0054201F"/>
    <w:rsid w:val="005425AD"/>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D68"/>
    <w:rsid w:val="00557173"/>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5586"/>
    <w:rsid w:val="005656ED"/>
    <w:rsid w:val="00566544"/>
    <w:rsid w:val="00566608"/>
    <w:rsid w:val="00566C83"/>
    <w:rsid w:val="00567B9A"/>
    <w:rsid w:val="005700FE"/>
    <w:rsid w:val="005704EB"/>
    <w:rsid w:val="00570DAE"/>
    <w:rsid w:val="00570E24"/>
    <w:rsid w:val="00570FF3"/>
    <w:rsid w:val="00572760"/>
    <w:rsid w:val="00572815"/>
    <w:rsid w:val="005730F3"/>
    <w:rsid w:val="005743DE"/>
    <w:rsid w:val="00574F3F"/>
    <w:rsid w:val="0057562C"/>
    <w:rsid w:val="005759F6"/>
    <w:rsid w:val="00575E3E"/>
    <w:rsid w:val="005765F5"/>
    <w:rsid w:val="00576D6C"/>
    <w:rsid w:val="00576DF2"/>
    <w:rsid w:val="0057730B"/>
    <w:rsid w:val="00577A2E"/>
    <w:rsid w:val="00577A75"/>
    <w:rsid w:val="005800B3"/>
    <w:rsid w:val="00580763"/>
    <w:rsid w:val="00580E48"/>
    <w:rsid w:val="00580F0A"/>
    <w:rsid w:val="00580F77"/>
    <w:rsid w:val="00581246"/>
    <w:rsid w:val="00581951"/>
    <w:rsid w:val="00581C52"/>
    <w:rsid w:val="00582C3A"/>
    <w:rsid w:val="00582E1A"/>
    <w:rsid w:val="00583147"/>
    <w:rsid w:val="00584416"/>
    <w:rsid w:val="00584B39"/>
    <w:rsid w:val="00584C27"/>
    <w:rsid w:val="00584FF5"/>
    <w:rsid w:val="00585028"/>
    <w:rsid w:val="005854D1"/>
    <w:rsid w:val="0058584A"/>
    <w:rsid w:val="00585F5B"/>
    <w:rsid w:val="0058620A"/>
    <w:rsid w:val="00587FC0"/>
    <w:rsid w:val="005902C6"/>
    <w:rsid w:val="00590379"/>
    <w:rsid w:val="005906AD"/>
    <w:rsid w:val="00590AC5"/>
    <w:rsid w:val="00590DA6"/>
    <w:rsid w:val="00591C7D"/>
    <w:rsid w:val="00591FBB"/>
    <w:rsid w:val="00592B03"/>
    <w:rsid w:val="00592E50"/>
    <w:rsid w:val="00592EE0"/>
    <w:rsid w:val="00593AB9"/>
    <w:rsid w:val="00594ABB"/>
    <w:rsid w:val="00594D1C"/>
    <w:rsid w:val="00594E36"/>
    <w:rsid w:val="00594F0A"/>
    <w:rsid w:val="0059525E"/>
    <w:rsid w:val="0059588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4348"/>
    <w:rsid w:val="005A434B"/>
    <w:rsid w:val="005A495A"/>
    <w:rsid w:val="005A5718"/>
    <w:rsid w:val="005A6537"/>
    <w:rsid w:val="005A71DA"/>
    <w:rsid w:val="005A7C61"/>
    <w:rsid w:val="005A7F32"/>
    <w:rsid w:val="005B0417"/>
    <w:rsid w:val="005B0542"/>
    <w:rsid w:val="005B0B97"/>
    <w:rsid w:val="005B2225"/>
    <w:rsid w:val="005B2799"/>
    <w:rsid w:val="005B2B77"/>
    <w:rsid w:val="005B3D4A"/>
    <w:rsid w:val="005B4D87"/>
    <w:rsid w:val="005B50E9"/>
    <w:rsid w:val="005B538D"/>
    <w:rsid w:val="005B566D"/>
    <w:rsid w:val="005B6398"/>
    <w:rsid w:val="005B6ADF"/>
    <w:rsid w:val="005B7186"/>
    <w:rsid w:val="005B7DD1"/>
    <w:rsid w:val="005B7F03"/>
    <w:rsid w:val="005C00A0"/>
    <w:rsid w:val="005C28FA"/>
    <w:rsid w:val="005C372C"/>
    <w:rsid w:val="005C40F4"/>
    <w:rsid w:val="005C43BE"/>
    <w:rsid w:val="005C44F3"/>
    <w:rsid w:val="005C6082"/>
    <w:rsid w:val="005C661F"/>
    <w:rsid w:val="005C6EBE"/>
    <w:rsid w:val="005C712D"/>
    <w:rsid w:val="005C76FE"/>
    <w:rsid w:val="005C7C75"/>
    <w:rsid w:val="005D0273"/>
    <w:rsid w:val="005D09D1"/>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FA"/>
    <w:rsid w:val="005D55BA"/>
    <w:rsid w:val="005D5ADB"/>
    <w:rsid w:val="005D5DFD"/>
    <w:rsid w:val="005D5E44"/>
    <w:rsid w:val="005D5FE3"/>
    <w:rsid w:val="005D648A"/>
    <w:rsid w:val="005D7D35"/>
    <w:rsid w:val="005D7E0D"/>
    <w:rsid w:val="005E136C"/>
    <w:rsid w:val="005E234A"/>
    <w:rsid w:val="005E29E2"/>
    <w:rsid w:val="005E2FAD"/>
    <w:rsid w:val="005E307B"/>
    <w:rsid w:val="005E35CC"/>
    <w:rsid w:val="005E371E"/>
    <w:rsid w:val="005E53F9"/>
    <w:rsid w:val="005E5708"/>
    <w:rsid w:val="005E6E57"/>
    <w:rsid w:val="005E775D"/>
    <w:rsid w:val="005F0A43"/>
    <w:rsid w:val="005F0C94"/>
    <w:rsid w:val="005F0EAF"/>
    <w:rsid w:val="005F27BF"/>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21B6"/>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A02"/>
    <w:rsid w:val="00607A2E"/>
    <w:rsid w:val="006101DF"/>
    <w:rsid w:val="00611055"/>
    <w:rsid w:val="00612BE4"/>
    <w:rsid w:val="006130F7"/>
    <w:rsid w:val="00613AF8"/>
    <w:rsid w:val="00613D8E"/>
    <w:rsid w:val="006142E0"/>
    <w:rsid w:val="006143C0"/>
    <w:rsid w:val="00615206"/>
    <w:rsid w:val="00615E74"/>
    <w:rsid w:val="00615F97"/>
    <w:rsid w:val="00616112"/>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660B"/>
    <w:rsid w:val="00626AD1"/>
    <w:rsid w:val="00626F83"/>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3037"/>
    <w:rsid w:val="00643660"/>
    <w:rsid w:val="00646E26"/>
    <w:rsid w:val="00650139"/>
    <w:rsid w:val="00650F80"/>
    <w:rsid w:val="00651100"/>
    <w:rsid w:val="00651B15"/>
    <w:rsid w:val="00651FD4"/>
    <w:rsid w:val="006521AC"/>
    <w:rsid w:val="00652756"/>
    <w:rsid w:val="00652A9F"/>
    <w:rsid w:val="00652AD8"/>
    <w:rsid w:val="00652B79"/>
    <w:rsid w:val="006533C3"/>
    <w:rsid w:val="00654068"/>
    <w:rsid w:val="00654B38"/>
    <w:rsid w:val="00654B83"/>
    <w:rsid w:val="00655061"/>
    <w:rsid w:val="0065510C"/>
    <w:rsid w:val="00655B63"/>
    <w:rsid w:val="00656057"/>
    <w:rsid w:val="006564E4"/>
    <w:rsid w:val="00656A5C"/>
    <w:rsid w:val="00656ECD"/>
    <w:rsid w:val="00656FDC"/>
    <w:rsid w:val="006571F6"/>
    <w:rsid w:val="00657FA0"/>
    <w:rsid w:val="006604D5"/>
    <w:rsid w:val="006618CC"/>
    <w:rsid w:val="00661DA1"/>
    <w:rsid w:val="00662111"/>
    <w:rsid w:val="00662118"/>
    <w:rsid w:val="006638AD"/>
    <w:rsid w:val="00663E55"/>
    <w:rsid w:val="006645DD"/>
    <w:rsid w:val="00666E4C"/>
    <w:rsid w:val="006671D4"/>
    <w:rsid w:val="0066732C"/>
    <w:rsid w:val="006679F5"/>
    <w:rsid w:val="00667B77"/>
    <w:rsid w:val="00671329"/>
    <w:rsid w:val="006716DA"/>
    <w:rsid w:val="006728ED"/>
    <w:rsid w:val="006732B1"/>
    <w:rsid w:val="006741CB"/>
    <w:rsid w:val="0067422E"/>
    <w:rsid w:val="0067446F"/>
    <w:rsid w:val="006746A4"/>
    <w:rsid w:val="00675122"/>
    <w:rsid w:val="00675558"/>
    <w:rsid w:val="00675611"/>
    <w:rsid w:val="00675A60"/>
    <w:rsid w:val="0067697E"/>
    <w:rsid w:val="00677304"/>
    <w:rsid w:val="00677443"/>
    <w:rsid w:val="00677583"/>
    <w:rsid w:val="0067769A"/>
    <w:rsid w:val="00677DFE"/>
    <w:rsid w:val="006806A3"/>
    <w:rsid w:val="006806A6"/>
    <w:rsid w:val="00680C80"/>
    <w:rsid w:val="00680F33"/>
    <w:rsid w:val="00681211"/>
    <w:rsid w:val="00681B36"/>
    <w:rsid w:val="00682040"/>
    <w:rsid w:val="00682E14"/>
    <w:rsid w:val="00683558"/>
    <w:rsid w:val="00683D9E"/>
    <w:rsid w:val="0068436C"/>
    <w:rsid w:val="0068545E"/>
    <w:rsid w:val="00685569"/>
    <w:rsid w:val="00685F03"/>
    <w:rsid w:val="00685FD4"/>
    <w:rsid w:val="006864D0"/>
    <w:rsid w:val="00686612"/>
    <w:rsid w:val="0068661E"/>
    <w:rsid w:val="0068697A"/>
    <w:rsid w:val="006871C5"/>
    <w:rsid w:val="0068784D"/>
    <w:rsid w:val="006879EF"/>
    <w:rsid w:val="00687ACB"/>
    <w:rsid w:val="00690A49"/>
    <w:rsid w:val="00690B16"/>
    <w:rsid w:val="00690BB6"/>
    <w:rsid w:val="006912EC"/>
    <w:rsid w:val="00691B30"/>
    <w:rsid w:val="006922E8"/>
    <w:rsid w:val="00693E1F"/>
    <w:rsid w:val="00693ECB"/>
    <w:rsid w:val="00694797"/>
    <w:rsid w:val="00695175"/>
    <w:rsid w:val="00695887"/>
    <w:rsid w:val="00695D8F"/>
    <w:rsid w:val="006962D4"/>
    <w:rsid w:val="00696E01"/>
    <w:rsid w:val="00697733"/>
    <w:rsid w:val="00697A3C"/>
    <w:rsid w:val="006A1911"/>
    <w:rsid w:val="006A1D8D"/>
    <w:rsid w:val="006A254E"/>
    <w:rsid w:val="006A2C30"/>
    <w:rsid w:val="006A301C"/>
    <w:rsid w:val="006A3525"/>
    <w:rsid w:val="006A3D71"/>
    <w:rsid w:val="006A3E2B"/>
    <w:rsid w:val="006A4224"/>
    <w:rsid w:val="006A454D"/>
    <w:rsid w:val="006A4E81"/>
    <w:rsid w:val="006A593F"/>
    <w:rsid w:val="006A5955"/>
    <w:rsid w:val="006A6C86"/>
    <w:rsid w:val="006A6E17"/>
    <w:rsid w:val="006A7264"/>
    <w:rsid w:val="006B0600"/>
    <w:rsid w:val="006B120D"/>
    <w:rsid w:val="006B17E7"/>
    <w:rsid w:val="006B19E8"/>
    <w:rsid w:val="006B1A8A"/>
    <w:rsid w:val="006B1FD5"/>
    <w:rsid w:val="006B3F58"/>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958"/>
    <w:rsid w:val="006C5A55"/>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0CE"/>
    <w:rsid w:val="006D3B2D"/>
    <w:rsid w:val="006D3BE1"/>
    <w:rsid w:val="006D48FC"/>
    <w:rsid w:val="006D62BC"/>
    <w:rsid w:val="006D6450"/>
    <w:rsid w:val="006D6939"/>
    <w:rsid w:val="006D7EB0"/>
    <w:rsid w:val="006E0138"/>
    <w:rsid w:val="006E017F"/>
    <w:rsid w:val="006E04E5"/>
    <w:rsid w:val="006E0587"/>
    <w:rsid w:val="006E0BB0"/>
    <w:rsid w:val="006E0CC3"/>
    <w:rsid w:val="006E12C3"/>
    <w:rsid w:val="006E1BF8"/>
    <w:rsid w:val="006E222C"/>
    <w:rsid w:val="006E2529"/>
    <w:rsid w:val="006E2C08"/>
    <w:rsid w:val="006E2D46"/>
    <w:rsid w:val="006E3FFE"/>
    <w:rsid w:val="006E45F3"/>
    <w:rsid w:val="006E4951"/>
    <w:rsid w:val="006E4A2F"/>
    <w:rsid w:val="006E4ED4"/>
    <w:rsid w:val="006E5E19"/>
    <w:rsid w:val="006E61C3"/>
    <w:rsid w:val="006E6490"/>
    <w:rsid w:val="006E7370"/>
    <w:rsid w:val="006E799D"/>
    <w:rsid w:val="006F0593"/>
    <w:rsid w:val="006F1064"/>
    <w:rsid w:val="006F1D8A"/>
    <w:rsid w:val="006F1EB7"/>
    <w:rsid w:val="006F272E"/>
    <w:rsid w:val="006F3327"/>
    <w:rsid w:val="006F464D"/>
    <w:rsid w:val="006F5132"/>
    <w:rsid w:val="006F52E5"/>
    <w:rsid w:val="006F6066"/>
    <w:rsid w:val="006F656E"/>
    <w:rsid w:val="006F6850"/>
    <w:rsid w:val="006F707E"/>
    <w:rsid w:val="00700136"/>
    <w:rsid w:val="007001DC"/>
    <w:rsid w:val="0070048C"/>
    <w:rsid w:val="00700527"/>
    <w:rsid w:val="00701ABA"/>
    <w:rsid w:val="00701BED"/>
    <w:rsid w:val="00702202"/>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837"/>
    <w:rsid w:val="007109C2"/>
    <w:rsid w:val="00710D1B"/>
    <w:rsid w:val="00711340"/>
    <w:rsid w:val="00711D7C"/>
    <w:rsid w:val="00712C42"/>
    <w:rsid w:val="00712F4E"/>
    <w:rsid w:val="00713446"/>
    <w:rsid w:val="0071362F"/>
    <w:rsid w:val="007136D0"/>
    <w:rsid w:val="00713915"/>
    <w:rsid w:val="00713DE4"/>
    <w:rsid w:val="00714C47"/>
    <w:rsid w:val="00714C65"/>
    <w:rsid w:val="00715485"/>
    <w:rsid w:val="007157FB"/>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624"/>
    <w:rsid w:val="007329EF"/>
    <w:rsid w:val="00732B90"/>
    <w:rsid w:val="007330CD"/>
    <w:rsid w:val="0073327A"/>
    <w:rsid w:val="0073338C"/>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3AB0"/>
    <w:rsid w:val="00744181"/>
    <w:rsid w:val="00744A64"/>
    <w:rsid w:val="00744D47"/>
    <w:rsid w:val="00744EA0"/>
    <w:rsid w:val="0074638D"/>
    <w:rsid w:val="00746484"/>
    <w:rsid w:val="0074704F"/>
    <w:rsid w:val="0074772E"/>
    <w:rsid w:val="00747F48"/>
    <w:rsid w:val="00747F4C"/>
    <w:rsid w:val="00751091"/>
    <w:rsid w:val="00751467"/>
    <w:rsid w:val="007514B9"/>
    <w:rsid w:val="00751B83"/>
    <w:rsid w:val="0075210D"/>
    <w:rsid w:val="00752869"/>
    <w:rsid w:val="00752975"/>
    <w:rsid w:val="00752B1A"/>
    <w:rsid w:val="007539BC"/>
    <w:rsid w:val="00754359"/>
    <w:rsid w:val="00754411"/>
    <w:rsid w:val="00754BD9"/>
    <w:rsid w:val="00754E7A"/>
    <w:rsid w:val="0075540C"/>
    <w:rsid w:val="00755DB1"/>
    <w:rsid w:val="00756570"/>
    <w:rsid w:val="007573A2"/>
    <w:rsid w:val="007574FC"/>
    <w:rsid w:val="00757FA5"/>
    <w:rsid w:val="00760975"/>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24C8"/>
    <w:rsid w:val="00772BEF"/>
    <w:rsid w:val="00772F8A"/>
    <w:rsid w:val="007739C6"/>
    <w:rsid w:val="00774712"/>
    <w:rsid w:val="00774889"/>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90108"/>
    <w:rsid w:val="00790648"/>
    <w:rsid w:val="0079162F"/>
    <w:rsid w:val="0079262B"/>
    <w:rsid w:val="00792788"/>
    <w:rsid w:val="00792B63"/>
    <w:rsid w:val="00793790"/>
    <w:rsid w:val="007947BC"/>
    <w:rsid w:val="00794924"/>
    <w:rsid w:val="00796161"/>
    <w:rsid w:val="007A0BC2"/>
    <w:rsid w:val="007A11FA"/>
    <w:rsid w:val="007A122F"/>
    <w:rsid w:val="007A19EE"/>
    <w:rsid w:val="007A1F44"/>
    <w:rsid w:val="007A1FDA"/>
    <w:rsid w:val="007A23FF"/>
    <w:rsid w:val="007A2564"/>
    <w:rsid w:val="007A295B"/>
    <w:rsid w:val="007A3424"/>
    <w:rsid w:val="007A35EF"/>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E3A"/>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00D"/>
    <w:rsid w:val="007C045E"/>
    <w:rsid w:val="007C1896"/>
    <w:rsid w:val="007C18ED"/>
    <w:rsid w:val="007C19AD"/>
    <w:rsid w:val="007C3598"/>
    <w:rsid w:val="007C3FA8"/>
    <w:rsid w:val="007C3FBD"/>
    <w:rsid w:val="007C4F49"/>
    <w:rsid w:val="007C5F66"/>
    <w:rsid w:val="007C68DA"/>
    <w:rsid w:val="007C6C28"/>
    <w:rsid w:val="007C7F34"/>
    <w:rsid w:val="007D0336"/>
    <w:rsid w:val="007D0393"/>
    <w:rsid w:val="007D0CAB"/>
    <w:rsid w:val="007D0D3E"/>
    <w:rsid w:val="007D150A"/>
    <w:rsid w:val="007D15F0"/>
    <w:rsid w:val="007D1AB3"/>
    <w:rsid w:val="007D229A"/>
    <w:rsid w:val="007D2567"/>
    <w:rsid w:val="007D2B68"/>
    <w:rsid w:val="007D2E13"/>
    <w:rsid w:val="007D2F44"/>
    <w:rsid w:val="007D2F4D"/>
    <w:rsid w:val="007D3DAC"/>
    <w:rsid w:val="007D4178"/>
    <w:rsid w:val="007D4265"/>
    <w:rsid w:val="007D4C9C"/>
    <w:rsid w:val="007D4D33"/>
    <w:rsid w:val="007D55E1"/>
    <w:rsid w:val="007D7175"/>
    <w:rsid w:val="007D76A3"/>
    <w:rsid w:val="007D7F29"/>
    <w:rsid w:val="007E0F85"/>
    <w:rsid w:val="007E1369"/>
    <w:rsid w:val="007E13BC"/>
    <w:rsid w:val="007E1A1B"/>
    <w:rsid w:val="007E1A88"/>
    <w:rsid w:val="007E3A5C"/>
    <w:rsid w:val="007E3EE7"/>
    <w:rsid w:val="007E4467"/>
    <w:rsid w:val="007E4C88"/>
    <w:rsid w:val="007E4E99"/>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5092"/>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52C4"/>
    <w:rsid w:val="0081581D"/>
    <w:rsid w:val="0081623E"/>
    <w:rsid w:val="008172BE"/>
    <w:rsid w:val="008179D1"/>
    <w:rsid w:val="00817B71"/>
    <w:rsid w:val="0082000B"/>
    <w:rsid w:val="00820244"/>
    <w:rsid w:val="00820C8C"/>
    <w:rsid w:val="008221B3"/>
    <w:rsid w:val="0082248E"/>
    <w:rsid w:val="008227A9"/>
    <w:rsid w:val="0082371C"/>
    <w:rsid w:val="008238DF"/>
    <w:rsid w:val="00823BEE"/>
    <w:rsid w:val="00824327"/>
    <w:rsid w:val="00824FDF"/>
    <w:rsid w:val="00825108"/>
    <w:rsid w:val="00825125"/>
    <w:rsid w:val="008257CC"/>
    <w:rsid w:val="00826348"/>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34"/>
    <w:rsid w:val="00833DDE"/>
    <w:rsid w:val="00834B48"/>
    <w:rsid w:val="008357FB"/>
    <w:rsid w:val="00835812"/>
    <w:rsid w:val="008359E0"/>
    <w:rsid w:val="0083738E"/>
    <w:rsid w:val="00837658"/>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A24"/>
    <w:rsid w:val="00845C12"/>
    <w:rsid w:val="00846755"/>
    <w:rsid w:val="008469D9"/>
    <w:rsid w:val="00846DC0"/>
    <w:rsid w:val="008474A7"/>
    <w:rsid w:val="00850291"/>
    <w:rsid w:val="008502CD"/>
    <w:rsid w:val="008506B6"/>
    <w:rsid w:val="00850AE0"/>
    <w:rsid w:val="008524D2"/>
    <w:rsid w:val="00852E19"/>
    <w:rsid w:val="0085357B"/>
    <w:rsid w:val="008542D4"/>
    <w:rsid w:val="008559C7"/>
    <w:rsid w:val="00856833"/>
    <w:rsid w:val="00856840"/>
    <w:rsid w:val="00857932"/>
    <w:rsid w:val="00860407"/>
    <w:rsid w:val="0086087C"/>
    <w:rsid w:val="00860D8E"/>
    <w:rsid w:val="00862406"/>
    <w:rsid w:val="0086275E"/>
    <w:rsid w:val="008627F0"/>
    <w:rsid w:val="008642B2"/>
    <w:rsid w:val="0086443C"/>
    <w:rsid w:val="00864440"/>
    <w:rsid w:val="00864D76"/>
    <w:rsid w:val="008650FC"/>
    <w:rsid w:val="008656C1"/>
    <w:rsid w:val="00865797"/>
    <w:rsid w:val="0086617A"/>
    <w:rsid w:val="008667C5"/>
    <w:rsid w:val="00866EB3"/>
    <w:rsid w:val="0086701A"/>
    <w:rsid w:val="00867BD2"/>
    <w:rsid w:val="00867E96"/>
    <w:rsid w:val="00870886"/>
    <w:rsid w:val="008712FD"/>
    <w:rsid w:val="008716A1"/>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4879"/>
    <w:rsid w:val="008850AE"/>
    <w:rsid w:val="008862EE"/>
    <w:rsid w:val="00886894"/>
    <w:rsid w:val="00887318"/>
    <w:rsid w:val="00887B48"/>
    <w:rsid w:val="00887C41"/>
    <w:rsid w:val="008903E4"/>
    <w:rsid w:val="0089176E"/>
    <w:rsid w:val="008917E0"/>
    <w:rsid w:val="00892365"/>
    <w:rsid w:val="0089254E"/>
    <w:rsid w:val="00892BE5"/>
    <w:rsid w:val="0089306F"/>
    <w:rsid w:val="0089387C"/>
    <w:rsid w:val="00893BF0"/>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7285"/>
    <w:rsid w:val="008A73B2"/>
    <w:rsid w:val="008A7CFA"/>
    <w:rsid w:val="008B043F"/>
    <w:rsid w:val="008B0808"/>
    <w:rsid w:val="008B0AEC"/>
    <w:rsid w:val="008B0B05"/>
    <w:rsid w:val="008B1E53"/>
    <w:rsid w:val="008B1E5B"/>
    <w:rsid w:val="008B289C"/>
    <w:rsid w:val="008B2A76"/>
    <w:rsid w:val="008B2D5B"/>
    <w:rsid w:val="008B3224"/>
    <w:rsid w:val="008B3766"/>
    <w:rsid w:val="008B389D"/>
    <w:rsid w:val="008B3C5C"/>
    <w:rsid w:val="008B4F16"/>
    <w:rsid w:val="008B5299"/>
    <w:rsid w:val="008B5416"/>
    <w:rsid w:val="008B5A5F"/>
    <w:rsid w:val="008B5AB0"/>
    <w:rsid w:val="008B6054"/>
    <w:rsid w:val="008B66A0"/>
    <w:rsid w:val="008B7B08"/>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E3C"/>
    <w:rsid w:val="008C785E"/>
    <w:rsid w:val="008D08E4"/>
    <w:rsid w:val="008D0A52"/>
    <w:rsid w:val="008D0AFB"/>
    <w:rsid w:val="008D12F7"/>
    <w:rsid w:val="008D1511"/>
    <w:rsid w:val="008D19BB"/>
    <w:rsid w:val="008D1ABE"/>
    <w:rsid w:val="008D2441"/>
    <w:rsid w:val="008D32DF"/>
    <w:rsid w:val="008D35E9"/>
    <w:rsid w:val="008D3959"/>
    <w:rsid w:val="008D3966"/>
    <w:rsid w:val="008D3CF7"/>
    <w:rsid w:val="008D4352"/>
    <w:rsid w:val="008D530D"/>
    <w:rsid w:val="008D533C"/>
    <w:rsid w:val="008D5A35"/>
    <w:rsid w:val="008D60BC"/>
    <w:rsid w:val="008D6D7B"/>
    <w:rsid w:val="008D7EB7"/>
    <w:rsid w:val="008E0516"/>
    <w:rsid w:val="008E0B6C"/>
    <w:rsid w:val="008E0DB9"/>
    <w:rsid w:val="008E0DCF"/>
    <w:rsid w:val="008E0EB8"/>
    <w:rsid w:val="008E10A6"/>
    <w:rsid w:val="008E1271"/>
    <w:rsid w:val="008E15C7"/>
    <w:rsid w:val="008E2251"/>
    <w:rsid w:val="008E24B3"/>
    <w:rsid w:val="008E24CA"/>
    <w:rsid w:val="008E28C9"/>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D49"/>
    <w:rsid w:val="00903802"/>
    <w:rsid w:val="0090512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612"/>
    <w:rsid w:val="0091366A"/>
    <w:rsid w:val="00913824"/>
    <w:rsid w:val="00913E50"/>
    <w:rsid w:val="00914CDC"/>
    <w:rsid w:val="00915757"/>
    <w:rsid w:val="009159B3"/>
    <w:rsid w:val="00916181"/>
    <w:rsid w:val="009161C3"/>
    <w:rsid w:val="0091762C"/>
    <w:rsid w:val="009204C5"/>
    <w:rsid w:val="00920986"/>
    <w:rsid w:val="00920B56"/>
    <w:rsid w:val="00920D87"/>
    <w:rsid w:val="00920EAF"/>
    <w:rsid w:val="00921013"/>
    <w:rsid w:val="0092180D"/>
    <w:rsid w:val="009226B4"/>
    <w:rsid w:val="009228B0"/>
    <w:rsid w:val="00922B06"/>
    <w:rsid w:val="00922B67"/>
    <w:rsid w:val="009232C9"/>
    <w:rsid w:val="00923608"/>
    <w:rsid w:val="00923847"/>
    <w:rsid w:val="009238E5"/>
    <w:rsid w:val="00923E87"/>
    <w:rsid w:val="00923F12"/>
    <w:rsid w:val="00924432"/>
    <w:rsid w:val="00924FF8"/>
    <w:rsid w:val="00925028"/>
    <w:rsid w:val="00925BA8"/>
    <w:rsid w:val="00925E42"/>
    <w:rsid w:val="00925F9D"/>
    <w:rsid w:val="00926068"/>
    <w:rsid w:val="00926618"/>
    <w:rsid w:val="00926DA7"/>
    <w:rsid w:val="00927F8B"/>
    <w:rsid w:val="00930859"/>
    <w:rsid w:val="0093094D"/>
    <w:rsid w:val="00930FD3"/>
    <w:rsid w:val="009312C4"/>
    <w:rsid w:val="00931651"/>
    <w:rsid w:val="009328C7"/>
    <w:rsid w:val="009336EC"/>
    <w:rsid w:val="00933C1C"/>
    <w:rsid w:val="00933F56"/>
    <w:rsid w:val="009341B1"/>
    <w:rsid w:val="0093448E"/>
    <w:rsid w:val="0093455A"/>
    <w:rsid w:val="00934582"/>
    <w:rsid w:val="00934C13"/>
    <w:rsid w:val="00935228"/>
    <w:rsid w:val="009355A2"/>
    <w:rsid w:val="009357E8"/>
    <w:rsid w:val="00935F9E"/>
    <w:rsid w:val="009364B6"/>
    <w:rsid w:val="0093651A"/>
    <w:rsid w:val="00936D98"/>
    <w:rsid w:val="00937442"/>
    <w:rsid w:val="009379DF"/>
    <w:rsid w:val="009414DC"/>
    <w:rsid w:val="00941E22"/>
    <w:rsid w:val="00942C80"/>
    <w:rsid w:val="00942DF9"/>
    <w:rsid w:val="00942E5B"/>
    <w:rsid w:val="00942FD9"/>
    <w:rsid w:val="00943197"/>
    <w:rsid w:val="009435F2"/>
    <w:rsid w:val="009438A5"/>
    <w:rsid w:val="00943BE0"/>
    <w:rsid w:val="009442A5"/>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80C"/>
    <w:rsid w:val="00953976"/>
    <w:rsid w:val="00954353"/>
    <w:rsid w:val="00955C0A"/>
    <w:rsid w:val="00955C4F"/>
    <w:rsid w:val="0095689E"/>
    <w:rsid w:val="00956DDB"/>
    <w:rsid w:val="00960DA1"/>
    <w:rsid w:val="00961ED2"/>
    <w:rsid w:val="0096257A"/>
    <w:rsid w:val="00962988"/>
    <w:rsid w:val="009633AA"/>
    <w:rsid w:val="00964ADB"/>
    <w:rsid w:val="009657F1"/>
    <w:rsid w:val="00965DE9"/>
    <w:rsid w:val="00965FD0"/>
    <w:rsid w:val="0096625D"/>
    <w:rsid w:val="009700F6"/>
    <w:rsid w:val="009709F8"/>
    <w:rsid w:val="0097258B"/>
    <w:rsid w:val="00972929"/>
    <w:rsid w:val="00972F91"/>
    <w:rsid w:val="00973827"/>
    <w:rsid w:val="00973991"/>
    <w:rsid w:val="009742D3"/>
    <w:rsid w:val="00975533"/>
    <w:rsid w:val="009756F7"/>
    <w:rsid w:val="0097626F"/>
    <w:rsid w:val="00976568"/>
    <w:rsid w:val="00977BA7"/>
    <w:rsid w:val="0098020A"/>
    <w:rsid w:val="00980517"/>
    <w:rsid w:val="0098116C"/>
    <w:rsid w:val="0098194F"/>
    <w:rsid w:val="00982463"/>
    <w:rsid w:val="009826C8"/>
    <w:rsid w:val="009836E4"/>
    <w:rsid w:val="0098412F"/>
    <w:rsid w:val="0098550D"/>
    <w:rsid w:val="00985F28"/>
    <w:rsid w:val="00986149"/>
    <w:rsid w:val="00986176"/>
    <w:rsid w:val="00986E7F"/>
    <w:rsid w:val="00986F9A"/>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910"/>
    <w:rsid w:val="009A09A5"/>
    <w:rsid w:val="009A0C6F"/>
    <w:rsid w:val="009A14EF"/>
    <w:rsid w:val="009A2DF9"/>
    <w:rsid w:val="009A3353"/>
    <w:rsid w:val="009A3518"/>
    <w:rsid w:val="009A3A86"/>
    <w:rsid w:val="009A3A8B"/>
    <w:rsid w:val="009A4869"/>
    <w:rsid w:val="009A5208"/>
    <w:rsid w:val="009A60EF"/>
    <w:rsid w:val="009A6A6B"/>
    <w:rsid w:val="009A77D2"/>
    <w:rsid w:val="009B1EF9"/>
    <w:rsid w:val="009B26AC"/>
    <w:rsid w:val="009B2991"/>
    <w:rsid w:val="009B2C1A"/>
    <w:rsid w:val="009B37E2"/>
    <w:rsid w:val="009B4519"/>
    <w:rsid w:val="009B4571"/>
    <w:rsid w:val="009B4A32"/>
    <w:rsid w:val="009B4F11"/>
    <w:rsid w:val="009B506B"/>
    <w:rsid w:val="009B57EF"/>
    <w:rsid w:val="009B5B85"/>
    <w:rsid w:val="009B5E0B"/>
    <w:rsid w:val="009B6BD3"/>
    <w:rsid w:val="009B6D6C"/>
    <w:rsid w:val="009B7204"/>
    <w:rsid w:val="009C0074"/>
    <w:rsid w:val="009C0564"/>
    <w:rsid w:val="009C16D9"/>
    <w:rsid w:val="009C1802"/>
    <w:rsid w:val="009C195B"/>
    <w:rsid w:val="009C2685"/>
    <w:rsid w:val="009C2EEC"/>
    <w:rsid w:val="009C356A"/>
    <w:rsid w:val="009C39BC"/>
    <w:rsid w:val="009C49B4"/>
    <w:rsid w:val="009C4BC2"/>
    <w:rsid w:val="009C4CC0"/>
    <w:rsid w:val="009C4D22"/>
    <w:rsid w:val="009C58A8"/>
    <w:rsid w:val="009C67C1"/>
    <w:rsid w:val="009C6F12"/>
    <w:rsid w:val="009C6F2B"/>
    <w:rsid w:val="009C7320"/>
    <w:rsid w:val="009C75E3"/>
    <w:rsid w:val="009D0198"/>
    <w:rsid w:val="009D0729"/>
    <w:rsid w:val="009D0B67"/>
    <w:rsid w:val="009D0EA3"/>
    <w:rsid w:val="009D0F66"/>
    <w:rsid w:val="009D18B3"/>
    <w:rsid w:val="009D1A06"/>
    <w:rsid w:val="009D1BA4"/>
    <w:rsid w:val="009D1BE3"/>
    <w:rsid w:val="009D1FC4"/>
    <w:rsid w:val="009D22E4"/>
    <w:rsid w:val="009D22F7"/>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33F3"/>
    <w:rsid w:val="009E3A1B"/>
    <w:rsid w:val="009E3AFD"/>
    <w:rsid w:val="009E3CDD"/>
    <w:rsid w:val="009E3D6C"/>
    <w:rsid w:val="009E4B16"/>
    <w:rsid w:val="009E4C1E"/>
    <w:rsid w:val="009E4D97"/>
    <w:rsid w:val="009E5C60"/>
    <w:rsid w:val="009E5C76"/>
    <w:rsid w:val="009E64DB"/>
    <w:rsid w:val="009E6794"/>
    <w:rsid w:val="009E7189"/>
    <w:rsid w:val="009E7E46"/>
    <w:rsid w:val="009E7F18"/>
    <w:rsid w:val="009E7FC1"/>
    <w:rsid w:val="009F01E1"/>
    <w:rsid w:val="009F0B4D"/>
    <w:rsid w:val="009F0F2C"/>
    <w:rsid w:val="009F1096"/>
    <w:rsid w:val="009F150E"/>
    <w:rsid w:val="009F1C4E"/>
    <w:rsid w:val="009F25B5"/>
    <w:rsid w:val="009F27AD"/>
    <w:rsid w:val="009F3FB5"/>
    <w:rsid w:val="009F474B"/>
    <w:rsid w:val="009F4A96"/>
    <w:rsid w:val="009F521F"/>
    <w:rsid w:val="009F553C"/>
    <w:rsid w:val="009F59F8"/>
    <w:rsid w:val="00A005B0"/>
    <w:rsid w:val="00A01219"/>
    <w:rsid w:val="00A0140A"/>
    <w:rsid w:val="00A01F17"/>
    <w:rsid w:val="00A022A5"/>
    <w:rsid w:val="00A024D4"/>
    <w:rsid w:val="00A03A22"/>
    <w:rsid w:val="00A03E62"/>
    <w:rsid w:val="00A04634"/>
    <w:rsid w:val="00A04885"/>
    <w:rsid w:val="00A04AF6"/>
    <w:rsid w:val="00A0543B"/>
    <w:rsid w:val="00A0561D"/>
    <w:rsid w:val="00A05CF4"/>
    <w:rsid w:val="00A06119"/>
    <w:rsid w:val="00A06E38"/>
    <w:rsid w:val="00A07A48"/>
    <w:rsid w:val="00A108EE"/>
    <w:rsid w:val="00A10BB8"/>
    <w:rsid w:val="00A10DB3"/>
    <w:rsid w:val="00A113D0"/>
    <w:rsid w:val="00A1200D"/>
    <w:rsid w:val="00A1206E"/>
    <w:rsid w:val="00A12C74"/>
    <w:rsid w:val="00A135FC"/>
    <w:rsid w:val="00A137E4"/>
    <w:rsid w:val="00A13871"/>
    <w:rsid w:val="00A13DEE"/>
    <w:rsid w:val="00A14813"/>
    <w:rsid w:val="00A1566A"/>
    <w:rsid w:val="00A15BE7"/>
    <w:rsid w:val="00A15E15"/>
    <w:rsid w:val="00A165BF"/>
    <w:rsid w:val="00A169EC"/>
    <w:rsid w:val="00A16C22"/>
    <w:rsid w:val="00A17068"/>
    <w:rsid w:val="00A172E8"/>
    <w:rsid w:val="00A17963"/>
    <w:rsid w:val="00A179FF"/>
    <w:rsid w:val="00A204A6"/>
    <w:rsid w:val="00A20696"/>
    <w:rsid w:val="00A20E31"/>
    <w:rsid w:val="00A21673"/>
    <w:rsid w:val="00A21A36"/>
    <w:rsid w:val="00A22473"/>
    <w:rsid w:val="00A2317D"/>
    <w:rsid w:val="00A2437A"/>
    <w:rsid w:val="00A24CDC"/>
    <w:rsid w:val="00A24FA5"/>
    <w:rsid w:val="00A25294"/>
    <w:rsid w:val="00A254EE"/>
    <w:rsid w:val="00A25BE7"/>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D62"/>
    <w:rsid w:val="00A35434"/>
    <w:rsid w:val="00A35A69"/>
    <w:rsid w:val="00A3611D"/>
    <w:rsid w:val="00A36339"/>
    <w:rsid w:val="00A366E4"/>
    <w:rsid w:val="00A3675F"/>
    <w:rsid w:val="00A370D8"/>
    <w:rsid w:val="00A412CC"/>
    <w:rsid w:val="00A41C81"/>
    <w:rsid w:val="00A4376F"/>
    <w:rsid w:val="00A4503E"/>
    <w:rsid w:val="00A4504C"/>
    <w:rsid w:val="00A4515A"/>
    <w:rsid w:val="00A4534B"/>
    <w:rsid w:val="00A4549F"/>
    <w:rsid w:val="00A454B8"/>
    <w:rsid w:val="00A45B9B"/>
    <w:rsid w:val="00A460C7"/>
    <w:rsid w:val="00A462FE"/>
    <w:rsid w:val="00A46673"/>
    <w:rsid w:val="00A46916"/>
    <w:rsid w:val="00A5016F"/>
    <w:rsid w:val="00A501C9"/>
    <w:rsid w:val="00A50506"/>
    <w:rsid w:val="00A50EDD"/>
    <w:rsid w:val="00A52A4C"/>
    <w:rsid w:val="00A5362B"/>
    <w:rsid w:val="00A53F55"/>
    <w:rsid w:val="00A5417B"/>
    <w:rsid w:val="00A54599"/>
    <w:rsid w:val="00A54B82"/>
    <w:rsid w:val="00A54E68"/>
    <w:rsid w:val="00A56759"/>
    <w:rsid w:val="00A569D4"/>
    <w:rsid w:val="00A57623"/>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942"/>
    <w:rsid w:val="00A653BF"/>
    <w:rsid w:val="00A65911"/>
    <w:rsid w:val="00A6643C"/>
    <w:rsid w:val="00A66464"/>
    <w:rsid w:val="00A66D9B"/>
    <w:rsid w:val="00A6707D"/>
    <w:rsid w:val="00A67544"/>
    <w:rsid w:val="00A705CE"/>
    <w:rsid w:val="00A7075B"/>
    <w:rsid w:val="00A70839"/>
    <w:rsid w:val="00A7170D"/>
    <w:rsid w:val="00A71CE6"/>
    <w:rsid w:val="00A71D23"/>
    <w:rsid w:val="00A71F22"/>
    <w:rsid w:val="00A72761"/>
    <w:rsid w:val="00A7333A"/>
    <w:rsid w:val="00A73A13"/>
    <w:rsid w:val="00A73D0D"/>
    <w:rsid w:val="00A74A92"/>
    <w:rsid w:val="00A75A01"/>
    <w:rsid w:val="00A75CC1"/>
    <w:rsid w:val="00A75E88"/>
    <w:rsid w:val="00A76678"/>
    <w:rsid w:val="00A772DF"/>
    <w:rsid w:val="00A775C7"/>
    <w:rsid w:val="00A779DB"/>
    <w:rsid w:val="00A80101"/>
    <w:rsid w:val="00A8056E"/>
    <w:rsid w:val="00A81C37"/>
    <w:rsid w:val="00A82D58"/>
    <w:rsid w:val="00A8321A"/>
    <w:rsid w:val="00A8399D"/>
    <w:rsid w:val="00A83E3D"/>
    <w:rsid w:val="00A8443A"/>
    <w:rsid w:val="00A8479C"/>
    <w:rsid w:val="00A84C20"/>
    <w:rsid w:val="00A8557B"/>
    <w:rsid w:val="00A85A05"/>
    <w:rsid w:val="00A86D63"/>
    <w:rsid w:val="00A8770E"/>
    <w:rsid w:val="00A87797"/>
    <w:rsid w:val="00A87959"/>
    <w:rsid w:val="00A87BF5"/>
    <w:rsid w:val="00A9020E"/>
    <w:rsid w:val="00A9055B"/>
    <w:rsid w:val="00A90900"/>
    <w:rsid w:val="00A90E72"/>
    <w:rsid w:val="00A92152"/>
    <w:rsid w:val="00A922A2"/>
    <w:rsid w:val="00A9255D"/>
    <w:rsid w:val="00A92561"/>
    <w:rsid w:val="00A92EA4"/>
    <w:rsid w:val="00A9327B"/>
    <w:rsid w:val="00A9332D"/>
    <w:rsid w:val="00A93657"/>
    <w:rsid w:val="00A93B69"/>
    <w:rsid w:val="00A94366"/>
    <w:rsid w:val="00A947F7"/>
    <w:rsid w:val="00A954A5"/>
    <w:rsid w:val="00A957E7"/>
    <w:rsid w:val="00A963C7"/>
    <w:rsid w:val="00A96714"/>
    <w:rsid w:val="00A97A8A"/>
    <w:rsid w:val="00AA09B7"/>
    <w:rsid w:val="00AA1626"/>
    <w:rsid w:val="00AA1C25"/>
    <w:rsid w:val="00AA36C4"/>
    <w:rsid w:val="00AA3CD1"/>
    <w:rsid w:val="00AA3DB7"/>
    <w:rsid w:val="00AA51F5"/>
    <w:rsid w:val="00AA5E3B"/>
    <w:rsid w:val="00AA62BB"/>
    <w:rsid w:val="00AA6884"/>
    <w:rsid w:val="00AA68B4"/>
    <w:rsid w:val="00AB0543"/>
    <w:rsid w:val="00AB0AC9"/>
    <w:rsid w:val="00AB185A"/>
    <w:rsid w:val="00AB188B"/>
    <w:rsid w:val="00AB18B4"/>
    <w:rsid w:val="00AB1BA7"/>
    <w:rsid w:val="00AB1E04"/>
    <w:rsid w:val="00AB1ED4"/>
    <w:rsid w:val="00AB27A9"/>
    <w:rsid w:val="00AB29CF"/>
    <w:rsid w:val="00AB2F5B"/>
    <w:rsid w:val="00AB3113"/>
    <w:rsid w:val="00AB348A"/>
    <w:rsid w:val="00AB3F38"/>
    <w:rsid w:val="00AB43EC"/>
    <w:rsid w:val="00AB4BF4"/>
    <w:rsid w:val="00AB4D37"/>
    <w:rsid w:val="00AB5ADF"/>
    <w:rsid w:val="00AB5BAE"/>
    <w:rsid w:val="00AB5C9A"/>
    <w:rsid w:val="00AB5DE1"/>
    <w:rsid w:val="00AB5E57"/>
    <w:rsid w:val="00AB69B2"/>
    <w:rsid w:val="00AB725F"/>
    <w:rsid w:val="00AC0705"/>
    <w:rsid w:val="00AC109B"/>
    <w:rsid w:val="00AC2291"/>
    <w:rsid w:val="00AC2D42"/>
    <w:rsid w:val="00AC3AE5"/>
    <w:rsid w:val="00AC48CA"/>
    <w:rsid w:val="00AC53D0"/>
    <w:rsid w:val="00AC6D57"/>
    <w:rsid w:val="00AC73B2"/>
    <w:rsid w:val="00AC74DA"/>
    <w:rsid w:val="00AC7A2B"/>
    <w:rsid w:val="00AC7C25"/>
    <w:rsid w:val="00AD0A51"/>
    <w:rsid w:val="00AD0B37"/>
    <w:rsid w:val="00AD11F7"/>
    <w:rsid w:val="00AD1600"/>
    <w:rsid w:val="00AD1DB7"/>
    <w:rsid w:val="00AD1EEC"/>
    <w:rsid w:val="00AD2852"/>
    <w:rsid w:val="00AD3147"/>
    <w:rsid w:val="00AD3208"/>
    <w:rsid w:val="00AD3976"/>
    <w:rsid w:val="00AD44B6"/>
    <w:rsid w:val="00AD48E8"/>
    <w:rsid w:val="00AD4D2A"/>
    <w:rsid w:val="00AD542F"/>
    <w:rsid w:val="00AD5F33"/>
    <w:rsid w:val="00AD68A1"/>
    <w:rsid w:val="00AD68CC"/>
    <w:rsid w:val="00AD6FC5"/>
    <w:rsid w:val="00AD71C5"/>
    <w:rsid w:val="00AD7305"/>
    <w:rsid w:val="00AD7E64"/>
    <w:rsid w:val="00AE0C56"/>
    <w:rsid w:val="00AE1183"/>
    <w:rsid w:val="00AE132F"/>
    <w:rsid w:val="00AE149E"/>
    <w:rsid w:val="00AE21E0"/>
    <w:rsid w:val="00AE22F2"/>
    <w:rsid w:val="00AE28D0"/>
    <w:rsid w:val="00AE29FC"/>
    <w:rsid w:val="00AE2ADE"/>
    <w:rsid w:val="00AE2B16"/>
    <w:rsid w:val="00AE2DCB"/>
    <w:rsid w:val="00AE2F3F"/>
    <w:rsid w:val="00AE3844"/>
    <w:rsid w:val="00AE3B4E"/>
    <w:rsid w:val="00AE540C"/>
    <w:rsid w:val="00AE58E7"/>
    <w:rsid w:val="00AE59EC"/>
    <w:rsid w:val="00AE602D"/>
    <w:rsid w:val="00AE62E1"/>
    <w:rsid w:val="00AE67B3"/>
    <w:rsid w:val="00AE6DE8"/>
    <w:rsid w:val="00AE7444"/>
    <w:rsid w:val="00AE7864"/>
    <w:rsid w:val="00AE7949"/>
    <w:rsid w:val="00AF01DE"/>
    <w:rsid w:val="00AF1970"/>
    <w:rsid w:val="00AF25D5"/>
    <w:rsid w:val="00AF2753"/>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E8B"/>
    <w:rsid w:val="00B040B2"/>
    <w:rsid w:val="00B04AAA"/>
    <w:rsid w:val="00B05B77"/>
    <w:rsid w:val="00B0728D"/>
    <w:rsid w:val="00B10558"/>
    <w:rsid w:val="00B10B8D"/>
    <w:rsid w:val="00B142B5"/>
    <w:rsid w:val="00B147F5"/>
    <w:rsid w:val="00B14A7B"/>
    <w:rsid w:val="00B156A9"/>
    <w:rsid w:val="00B15F83"/>
    <w:rsid w:val="00B160FF"/>
    <w:rsid w:val="00B16322"/>
    <w:rsid w:val="00B1662E"/>
    <w:rsid w:val="00B16A6F"/>
    <w:rsid w:val="00B16B4D"/>
    <w:rsid w:val="00B1708B"/>
    <w:rsid w:val="00B17755"/>
    <w:rsid w:val="00B17C06"/>
    <w:rsid w:val="00B17D7E"/>
    <w:rsid w:val="00B20634"/>
    <w:rsid w:val="00B22600"/>
    <w:rsid w:val="00B22C0D"/>
    <w:rsid w:val="00B230B1"/>
    <w:rsid w:val="00B23AF4"/>
    <w:rsid w:val="00B23C13"/>
    <w:rsid w:val="00B23C15"/>
    <w:rsid w:val="00B2419C"/>
    <w:rsid w:val="00B25274"/>
    <w:rsid w:val="00B25762"/>
    <w:rsid w:val="00B25B40"/>
    <w:rsid w:val="00B25FDE"/>
    <w:rsid w:val="00B26AB0"/>
    <w:rsid w:val="00B26AD2"/>
    <w:rsid w:val="00B26CA2"/>
    <w:rsid w:val="00B30B4E"/>
    <w:rsid w:val="00B30F48"/>
    <w:rsid w:val="00B31246"/>
    <w:rsid w:val="00B31481"/>
    <w:rsid w:val="00B32313"/>
    <w:rsid w:val="00B324CD"/>
    <w:rsid w:val="00B326FF"/>
    <w:rsid w:val="00B335C3"/>
    <w:rsid w:val="00B33D12"/>
    <w:rsid w:val="00B340AA"/>
    <w:rsid w:val="00B34A9F"/>
    <w:rsid w:val="00B34B80"/>
    <w:rsid w:val="00B34C94"/>
    <w:rsid w:val="00B350D9"/>
    <w:rsid w:val="00B35CDA"/>
    <w:rsid w:val="00B362D2"/>
    <w:rsid w:val="00B37594"/>
    <w:rsid w:val="00B37A0D"/>
    <w:rsid w:val="00B37D97"/>
    <w:rsid w:val="00B40187"/>
    <w:rsid w:val="00B41165"/>
    <w:rsid w:val="00B411BD"/>
    <w:rsid w:val="00B41559"/>
    <w:rsid w:val="00B418E8"/>
    <w:rsid w:val="00B42285"/>
    <w:rsid w:val="00B4274B"/>
    <w:rsid w:val="00B435B1"/>
    <w:rsid w:val="00B4367F"/>
    <w:rsid w:val="00B438BA"/>
    <w:rsid w:val="00B43EAD"/>
    <w:rsid w:val="00B44F99"/>
    <w:rsid w:val="00B45326"/>
    <w:rsid w:val="00B45655"/>
    <w:rsid w:val="00B45743"/>
    <w:rsid w:val="00B45876"/>
    <w:rsid w:val="00B458AD"/>
    <w:rsid w:val="00B45AD5"/>
    <w:rsid w:val="00B461D2"/>
    <w:rsid w:val="00B466FE"/>
    <w:rsid w:val="00B471A4"/>
    <w:rsid w:val="00B473F7"/>
    <w:rsid w:val="00B47949"/>
    <w:rsid w:val="00B47C08"/>
    <w:rsid w:val="00B51100"/>
    <w:rsid w:val="00B514D7"/>
    <w:rsid w:val="00B5153D"/>
    <w:rsid w:val="00B51542"/>
    <w:rsid w:val="00B515E8"/>
    <w:rsid w:val="00B51D1D"/>
    <w:rsid w:val="00B52323"/>
    <w:rsid w:val="00B5310E"/>
    <w:rsid w:val="00B54ACC"/>
    <w:rsid w:val="00B54AF4"/>
    <w:rsid w:val="00B54DCB"/>
    <w:rsid w:val="00B55A98"/>
    <w:rsid w:val="00B55AC2"/>
    <w:rsid w:val="00B560C9"/>
    <w:rsid w:val="00B56533"/>
    <w:rsid w:val="00B56688"/>
    <w:rsid w:val="00B56CFC"/>
    <w:rsid w:val="00B56FA8"/>
    <w:rsid w:val="00B57777"/>
    <w:rsid w:val="00B57A17"/>
    <w:rsid w:val="00B60A2C"/>
    <w:rsid w:val="00B613EB"/>
    <w:rsid w:val="00B614E8"/>
    <w:rsid w:val="00B61BE2"/>
    <w:rsid w:val="00B6258D"/>
    <w:rsid w:val="00B6266F"/>
    <w:rsid w:val="00B62E0B"/>
    <w:rsid w:val="00B63C32"/>
    <w:rsid w:val="00B643B6"/>
    <w:rsid w:val="00B64434"/>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B9"/>
    <w:rsid w:val="00B919AD"/>
    <w:rsid w:val="00B91A2B"/>
    <w:rsid w:val="00B92A4E"/>
    <w:rsid w:val="00B93204"/>
    <w:rsid w:val="00B9346A"/>
    <w:rsid w:val="00B94E17"/>
    <w:rsid w:val="00B956B9"/>
    <w:rsid w:val="00B957FE"/>
    <w:rsid w:val="00B95ACB"/>
    <w:rsid w:val="00B95F02"/>
    <w:rsid w:val="00B96BEF"/>
    <w:rsid w:val="00B96FC0"/>
    <w:rsid w:val="00B97260"/>
    <w:rsid w:val="00B97A69"/>
    <w:rsid w:val="00BA0632"/>
    <w:rsid w:val="00BA0AAA"/>
    <w:rsid w:val="00BA0DFB"/>
    <w:rsid w:val="00BA2C6E"/>
    <w:rsid w:val="00BA2FEF"/>
    <w:rsid w:val="00BA34AE"/>
    <w:rsid w:val="00BA35BA"/>
    <w:rsid w:val="00BA3FA7"/>
    <w:rsid w:val="00BA4141"/>
    <w:rsid w:val="00BA46A7"/>
    <w:rsid w:val="00BA5322"/>
    <w:rsid w:val="00BA6C5F"/>
    <w:rsid w:val="00BA70EA"/>
    <w:rsid w:val="00BA7689"/>
    <w:rsid w:val="00BB0785"/>
    <w:rsid w:val="00BB0ADB"/>
    <w:rsid w:val="00BB1548"/>
    <w:rsid w:val="00BB1CE7"/>
    <w:rsid w:val="00BB2FD3"/>
    <w:rsid w:val="00BB2FDF"/>
    <w:rsid w:val="00BB2FFF"/>
    <w:rsid w:val="00BB35F2"/>
    <w:rsid w:val="00BB3F65"/>
    <w:rsid w:val="00BB3F96"/>
    <w:rsid w:val="00BB475A"/>
    <w:rsid w:val="00BB5920"/>
    <w:rsid w:val="00BB5FCB"/>
    <w:rsid w:val="00BB604B"/>
    <w:rsid w:val="00BB6A21"/>
    <w:rsid w:val="00BC00EC"/>
    <w:rsid w:val="00BC08C5"/>
    <w:rsid w:val="00BC09DD"/>
    <w:rsid w:val="00BC0EA1"/>
    <w:rsid w:val="00BC12FB"/>
    <w:rsid w:val="00BC1C3C"/>
    <w:rsid w:val="00BC247F"/>
    <w:rsid w:val="00BC307F"/>
    <w:rsid w:val="00BC3159"/>
    <w:rsid w:val="00BC31C7"/>
    <w:rsid w:val="00BC3257"/>
    <w:rsid w:val="00BC357A"/>
    <w:rsid w:val="00BC39DB"/>
    <w:rsid w:val="00BC3A32"/>
    <w:rsid w:val="00BC3B07"/>
    <w:rsid w:val="00BC46EF"/>
    <w:rsid w:val="00BC6FD6"/>
    <w:rsid w:val="00BC7449"/>
    <w:rsid w:val="00BD008E"/>
    <w:rsid w:val="00BD249A"/>
    <w:rsid w:val="00BD2AE1"/>
    <w:rsid w:val="00BD2E4B"/>
    <w:rsid w:val="00BD2F3B"/>
    <w:rsid w:val="00BD32BC"/>
    <w:rsid w:val="00BD3372"/>
    <w:rsid w:val="00BD3BEB"/>
    <w:rsid w:val="00BD410F"/>
    <w:rsid w:val="00BD4749"/>
    <w:rsid w:val="00BD4E8F"/>
    <w:rsid w:val="00BD50AA"/>
    <w:rsid w:val="00BD5135"/>
    <w:rsid w:val="00BD522C"/>
    <w:rsid w:val="00BD59D3"/>
    <w:rsid w:val="00BD7291"/>
    <w:rsid w:val="00BD7EA3"/>
    <w:rsid w:val="00BD7EEB"/>
    <w:rsid w:val="00BD7FE2"/>
    <w:rsid w:val="00BE0B19"/>
    <w:rsid w:val="00BE0DD8"/>
    <w:rsid w:val="00BE13F0"/>
    <w:rsid w:val="00BE15C1"/>
    <w:rsid w:val="00BE1D82"/>
    <w:rsid w:val="00BE1EE4"/>
    <w:rsid w:val="00BE1F8B"/>
    <w:rsid w:val="00BE2B4F"/>
    <w:rsid w:val="00BE2F39"/>
    <w:rsid w:val="00BE3227"/>
    <w:rsid w:val="00BE332D"/>
    <w:rsid w:val="00BE3578"/>
    <w:rsid w:val="00BE3582"/>
    <w:rsid w:val="00BE36E6"/>
    <w:rsid w:val="00BE3CF1"/>
    <w:rsid w:val="00BE4B20"/>
    <w:rsid w:val="00BE55F1"/>
    <w:rsid w:val="00BE5FC4"/>
    <w:rsid w:val="00BE68DB"/>
    <w:rsid w:val="00BE7742"/>
    <w:rsid w:val="00BE78DA"/>
    <w:rsid w:val="00BE7C4D"/>
    <w:rsid w:val="00BE7F6A"/>
    <w:rsid w:val="00BF0274"/>
    <w:rsid w:val="00BF08C4"/>
    <w:rsid w:val="00BF0BAF"/>
    <w:rsid w:val="00BF10FE"/>
    <w:rsid w:val="00BF19CE"/>
    <w:rsid w:val="00BF2B6F"/>
    <w:rsid w:val="00BF3220"/>
    <w:rsid w:val="00BF351A"/>
    <w:rsid w:val="00BF3914"/>
    <w:rsid w:val="00BF4151"/>
    <w:rsid w:val="00BF49B1"/>
    <w:rsid w:val="00BF4E43"/>
    <w:rsid w:val="00BF54A0"/>
    <w:rsid w:val="00BF5552"/>
    <w:rsid w:val="00BF6D36"/>
    <w:rsid w:val="00BF73F2"/>
    <w:rsid w:val="00BF7B3C"/>
    <w:rsid w:val="00C009A3"/>
    <w:rsid w:val="00C010E8"/>
    <w:rsid w:val="00C012CF"/>
    <w:rsid w:val="00C01671"/>
    <w:rsid w:val="00C020C3"/>
    <w:rsid w:val="00C02419"/>
    <w:rsid w:val="00C02766"/>
    <w:rsid w:val="00C03EE8"/>
    <w:rsid w:val="00C04535"/>
    <w:rsid w:val="00C0457A"/>
    <w:rsid w:val="00C05BEC"/>
    <w:rsid w:val="00C06E7D"/>
    <w:rsid w:val="00C07B8D"/>
    <w:rsid w:val="00C07DE5"/>
    <w:rsid w:val="00C10323"/>
    <w:rsid w:val="00C108B6"/>
    <w:rsid w:val="00C1112B"/>
    <w:rsid w:val="00C11A88"/>
    <w:rsid w:val="00C12012"/>
    <w:rsid w:val="00C12709"/>
    <w:rsid w:val="00C12874"/>
    <w:rsid w:val="00C12BC1"/>
    <w:rsid w:val="00C13BDA"/>
    <w:rsid w:val="00C13FFD"/>
    <w:rsid w:val="00C14632"/>
    <w:rsid w:val="00C15A86"/>
    <w:rsid w:val="00C15EDB"/>
    <w:rsid w:val="00C1606B"/>
    <w:rsid w:val="00C160F0"/>
    <w:rsid w:val="00C164C4"/>
    <w:rsid w:val="00C16C30"/>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63F"/>
    <w:rsid w:val="00C26A2B"/>
    <w:rsid w:val="00C26DB8"/>
    <w:rsid w:val="00C3400F"/>
    <w:rsid w:val="00C340C6"/>
    <w:rsid w:val="00C34B64"/>
    <w:rsid w:val="00C34C36"/>
    <w:rsid w:val="00C34C44"/>
    <w:rsid w:val="00C3513C"/>
    <w:rsid w:val="00C352B3"/>
    <w:rsid w:val="00C356BF"/>
    <w:rsid w:val="00C3654C"/>
    <w:rsid w:val="00C3684E"/>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4CDD"/>
    <w:rsid w:val="00C44F98"/>
    <w:rsid w:val="00C452F5"/>
    <w:rsid w:val="00C46555"/>
    <w:rsid w:val="00C46B15"/>
    <w:rsid w:val="00C46F7D"/>
    <w:rsid w:val="00C479B5"/>
    <w:rsid w:val="00C47B60"/>
    <w:rsid w:val="00C47BA1"/>
    <w:rsid w:val="00C50242"/>
    <w:rsid w:val="00C5034D"/>
    <w:rsid w:val="00C5050E"/>
    <w:rsid w:val="00C50E99"/>
    <w:rsid w:val="00C52744"/>
    <w:rsid w:val="00C531EB"/>
    <w:rsid w:val="00C53ADE"/>
    <w:rsid w:val="00C53EB3"/>
    <w:rsid w:val="00C53FC9"/>
    <w:rsid w:val="00C542CA"/>
    <w:rsid w:val="00C542D4"/>
    <w:rsid w:val="00C54D71"/>
    <w:rsid w:val="00C55B01"/>
    <w:rsid w:val="00C563F5"/>
    <w:rsid w:val="00C56498"/>
    <w:rsid w:val="00C56D23"/>
    <w:rsid w:val="00C570F7"/>
    <w:rsid w:val="00C6027B"/>
    <w:rsid w:val="00C6097A"/>
    <w:rsid w:val="00C60E61"/>
    <w:rsid w:val="00C61062"/>
    <w:rsid w:val="00C61799"/>
    <w:rsid w:val="00C623FE"/>
    <w:rsid w:val="00C62810"/>
    <w:rsid w:val="00C62BD4"/>
    <w:rsid w:val="00C62CD5"/>
    <w:rsid w:val="00C62FB9"/>
    <w:rsid w:val="00C636E6"/>
    <w:rsid w:val="00C639D6"/>
    <w:rsid w:val="00C63F16"/>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3B4F"/>
    <w:rsid w:val="00C74027"/>
    <w:rsid w:val="00C74811"/>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646D"/>
    <w:rsid w:val="00C86A62"/>
    <w:rsid w:val="00C86FEE"/>
    <w:rsid w:val="00C87455"/>
    <w:rsid w:val="00C900CD"/>
    <w:rsid w:val="00C90B92"/>
    <w:rsid w:val="00C913CA"/>
    <w:rsid w:val="00C91C13"/>
    <w:rsid w:val="00C91DE3"/>
    <w:rsid w:val="00C923AF"/>
    <w:rsid w:val="00C92C7F"/>
    <w:rsid w:val="00C9330E"/>
    <w:rsid w:val="00C9369D"/>
    <w:rsid w:val="00C944FA"/>
    <w:rsid w:val="00C949D3"/>
    <w:rsid w:val="00C94A9D"/>
    <w:rsid w:val="00C9535A"/>
    <w:rsid w:val="00C95854"/>
    <w:rsid w:val="00C95861"/>
    <w:rsid w:val="00C95EFF"/>
    <w:rsid w:val="00C96E6F"/>
    <w:rsid w:val="00C96E9B"/>
    <w:rsid w:val="00C970AA"/>
    <w:rsid w:val="00C97872"/>
    <w:rsid w:val="00CA0532"/>
    <w:rsid w:val="00CA0566"/>
    <w:rsid w:val="00CA0C22"/>
    <w:rsid w:val="00CA13AF"/>
    <w:rsid w:val="00CA17D9"/>
    <w:rsid w:val="00CA21E6"/>
    <w:rsid w:val="00CA2241"/>
    <w:rsid w:val="00CA27FD"/>
    <w:rsid w:val="00CA304A"/>
    <w:rsid w:val="00CA3259"/>
    <w:rsid w:val="00CA34AF"/>
    <w:rsid w:val="00CA35D0"/>
    <w:rsid w:val="00CA3970"/>
    <w:rsid w:val="00CA3CDD"/>
    <w:rsid w:val="00CA403B"/>
    <w:rsid w:val="00CA418B"/>
    <w:rsid w:val="00CA4F50"/>
    <w:rsid w:val="00CA505A"/>
    <w:rsid w:val="00CA59DD"/>
    <w:rsid w:val="00CA7198"/>
    <w:rsid w:val="00CA7937"/>
    <w:rsid w:val="00CB008E"/>
    <w:rsid w:val="00CB01FA"/>
    <w:rsid w:val="00CB0737"/>
    <w:rsid w:val="00CB097A"/>
    <w:rsid w:val="00CB26EC"/>
    <w:rsid w:val="00CB2C6D"/>
    <w:rsid w:val="00CB2D2A"/>
    <w:rsid w:val="00CB329A"/>
    <w:rsid w:val="00CB430F"/>
    <w:rsid w:val="00CB53F3"/>
    <w:rsid w:val="00CB5B1E"/>
    <w:rsid w:val="00CB683C"/>
    <w:rsid w:val="00CB7346"/>
    <w:rsid w:val="00CB787A"/>
    <w:rsid w:val="00CB7B01"/>
    <w:rsid w:val="00CC0C4A"/>
    <w:rsid w:val="00CC0C7E"/>
    <w:rsid w:val="00CC17F0"/>
    <w:rsid w:val="00CC1853"/>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F5D"/>
    <w:rsid w:val="00CD1857"/>
    <w:rsid w:val="00CD199E"/>
    <w:rsid w:val="00CD1C0B"/>
    <w:rsid w:val="00CD239A"/>
    <w:rsid w:val="00CD262E"/>
    <w:rsid w:val="00CD2E36"/>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643C"/>
    <w:rsid w:val="00CE78AE"/>
    <w:rsid w:val="00CE7AD3"/>
    <w:rsid w:val="00CE7E62"/>
    <w:rsid w:val="00CF051E"/>
    <w:rsid w:val="00CF195E"/>
    <w:rsid w:val="00CF19DA"/>
    <w:rsid w:val="00CF1C7F"/>
    <w:rsid w:val="00CF1CC0"/>
    <w:rsid w:val="00CF24F8"/>
    <w:rsid w:val="00CF2653"/>
    <w:rsid w:val="00CF33FC"/>
    <w:rsid w:val="00CF4247"/>
    <w:rsid w:val="00CF4946"/>
    <w:rsid w:val="00CF5263"/>
    <w:rsid w:val="00CF589F"/>
    <w:rsid w:val="00CF60B5"/>
    <w:rsid w:val="00CF7133"/>
    <w:rsid w:val="00CF714B"/>
    <w:rsid w:val="00CF7EDC"/>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2E39"/>
    <w:rsid w:val="00D13C14"/>
    <w:rsid w:val="00D13CBD"/>
    <w:rsid w:val="00D14236"/>
    <w:rsid w:val="00D14553"/>
    <w:rsid w:val="00D14DB1"/>
    <w:rsid w:val="00D15F43"/>
    <w:rsid w:val="00D161A5"/>
    <w:rsid w:val="00D166B3"/>
    <w:rsid w:val="00D16E87"/>
    <w:rsid w:val="00D17868"/>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F48"/>
    <w:rsid w:val="00D302FD"/>
    <w:rsid w:val="00D3038A"/>
    <w:rsid w:val="00D30522"/>
    <w:rsid w:val="00D3098D"/>
    <w:rsid w:val="00D30D4B"/>
    <w:rsid w:val="00D31749"/>
    <w:rsid w:val="00D31A02"/>
    <w:rsid w:val="00D3323C"/>
    <w:rsid w:val="00D33456"/>
    <w:rsid w:val="00D3396F"/>
    <w:rsid w:val="00D33D4D"/>
    <w:rsid w:val="00D34A0B"/>
    <w:rsid w:val="00D34A97"/>
    <w:rsid w:val="00D36234"/>
    <w:rsid w:val="00D36354"/>
    <w:rsid w:val="00D36371"/>
    <w:rsid w:val="00D3675D"/>
    <w:rsid w:val="00D36DFA"/>
    <w:rsid w:val="00D37190"/>
    <w:rsid w:val="00D375C4"/>
    <w:rsid w:val="00D37675"/>
    <w:rsid w:val="00D40F6F"/>
    <w:rsid w:val="00D411B3"/>
    <w:rsid w:val="00D41302"/>
    <w:rsid w:val="00D417DF"/>
    <w:rsid w:val="00D430EE"/>
    <w:rsid w:val="00D43181"/>
    <w:rsid w:val="00D437D8"/>
    <w:rsid w:val="00D44944"/>
    <w:rsid w:val="00D44994"/>
    <w:rsid w:val="00D45553"/>
    <w:rsid w:val="00D45DF3"/>
    <w:rsid w:val="00D46174"/>
    <w:rsid w:val="00D47A1D"/>
    <w:rsid w:val="00D47DD0"/>
    <w:rsid w:val="00D50183"/>
    <w:rsid w:val="00D50F65"/>
    <w:rsid w:val="00D51D12"/>
    <w:rsid w:val="00D525F7"/>
    <w:rsid w:val="00D5362B"/>
    <w:rsid w:val="00D53722"/>
    <w:rsid w:val="00D53D6B"/>
    <w:rsid w:val="00D55072"/>
    <w:rsid w:val="00D551B5"/>
    <w:rsid w:val="00D555B3"/>
    <w:rsid w:val="00D5566A"/>
    <w:rsid w:val="00D566DE"/>
    <w:rsid w:val="00D56C2E"/>
    <w:rsid w:val="00D56DB2"/>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517"/>
    <w:rsid w:val="00D63B75"/>
    <w:rsid w:val="00D63B89"/>
    <w:rsid w:val="00D63F3C"/>
    <w:rsid w:val="00D644A4"/>
    <w:rsid w:val="00D64FD4"/>
    <w:rsid w:val="00D656EE"/>
    <w:rsid w:val="00D6584E"/>
    <w:rsid w:val="00D659B1"/>
    <w:rsid w:val="00D66B82"/>
    <w:rsid w:val="00D66C78"/>
    <w:rsid w:val="00D66E18"/>
    <w:rsid w:val="00D6734D"/>
    <w:rsid w:val="00D67761"/>
    <w:rsid w:val="00D679CF"/>
    <w:rsid w:val="00D679D3"/>
    <w:rsid w:val="00D70CC3"/>
    <w:rsid w:val="00D71F46"/>
    <w:rsid w:val="00D71FE4"/>
    <w:rsid w:val="00D731FA"/>
    <w:rsid w:val="00D7356F"/>
    <w:rsid w:val="00D73587"/>
    <w:rsid w:val="00D7361F"/>
    <w:rsid w:val="00D73EBB"/>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A0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683C"/>
    <w:rsid w:val="00D96C48"/>
    <w:rsid w:val="00D975C1"/>
    <w:rsid w:val="00D97884"/>
    <w:rsid w:val="00DA0845"/>
    <w:rsid w:val="00DA0A7F"/>
    <w:rsid w:val="00DA11D7"/>
    <w:rsid w:val="00DA16E4"/>
    <w:rsid w:val="00DA1C31"/>
    <w:rsid w:val="00DA20BC"/>
    <w:rsid w:val="00DA2ED7"/>
    <w:rsid w:val="00DA31B6"/>
    <w:rsid w:val="00DA3E7A"/>
    <w:rsid w:val="00DA430C"/>
    <w:rsid w:val="00DA465B"/>
    <w:rsid w:val="00DA4DD5"/>
    <w:rsid w:val="00DA5C9F"/>
    <w:rsid w:val="00DA615D"/>
    <w:rsid w:val="00DA6598"/>
    <w:rsid w:val="00DA6C0F"/>
    <w:rsid w:val="00DA702F"/>
    <w:rsid w:val="00DA70EB"/>
    <w:rsid w:val="00DA7D4C"/>
    <w:rsid w:val="00DA7F8A"/>
    <w:rsid w:val="00DB0176"/>
    <w:rsid w:val="00DB0404"/>
    <w:rsid w:val="00DB0AF7"/>
    <w:rsid w:val="00DB0D77"/>
    <w:rsid w:val="00DB11F8"/>
    <w:rsid w:val="00DB18F8"/>
    <w:rsid w:val="00DB1AE5"/>
    <w:rsid w:val="00DB1F2A"/>
    <w:rsid w:val="00DB26D2"/>
    <w:rsid w:val="00DB297F"/>
    <w:rsid w:val="00DB2B61"/>
    <w:rsid w:val="00DB3153"/>
    <w:rsid w:val="00DB317A"/>
    <w:rsid w:val="00DB3704"/>
    <w:rsid w:val="00DB3B82"/>
    <w:rsid w:val="00DB3F0B"/>
    <w:rsid w:val="00DB485D"/>
    <w:rsid w:val="00DB5932"/>
    <w:rsid w:val="00DB6169"/>
    <w:rsid w:val="00DB6E09"/>
    <w:rsid w:val="00DB6FCD"/>
    <w:rsid w:val="00DB6FF5"/>
    <w:rsid w:val="00DB7BF5"/>
    <w:rsid w:val="00DC0052"/>
    <w:rsid w:val="00DC079B"/>
    <w:rsid w:val="00DC1070"/>
    <w:rsid w:val="00DC1327"/>
    <w:rsid w:val="00DC1350"/>
    <w:rsid w:val="00DC148D"/>
    <w:rsid w:val="00DC1A7C"/>
    <w:rsid w:val="00DC2E02"/>
    <w:rsid w:val="00DC3237"/>
    <w:rsid w:val="00DC41A4"/>
    <w:rsid w:val="00DC5672"/>
    <w:rsid w:val="00DC60A2"/>
    <w:rsid w:val="00DC60CF"/>
    <w:rsid w:val="00DC6436"/>
    <w:rsid w:val="00DC6600"/>
    <w:rsid w:val="00DC67BD"/>
    <w:rsid w:val="00DC6924"/>
    <w:rsid w:val="00DC6C2F"/>
    <w:rsid w:val="00DC71F2"/>
    <w:rsid w:val="00DD1B7A"/>
    <w:rsid w:val="00DD2025"/>
    <w:rsid w:val="00DD22EA"/>
    <w:rsid w:val="00DD23A0"/>
    <w:rsid w:val="00DD3143"/>
    <w:rsid w:val="00DD3EF5"/>
    <w:rsid w:val="00DD4122"/>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705"/>
    <w:rsid w:val="00DE5CA4"/>
    <w:rsid w:val="00DE6530"/>
    <w:rsid w:val="00DE7109"/>
    <w:rsid w:val="00DE7C00"/>
    <w:rsid w:val="00DF0048"/>
    <w:rsid w:val="00DF03E9"/>
    <w:rsid w:val="00DF03ED"/>
    <w:rsid w:val="00DF04EE"/>
    <w:rsid w:val="00DF0BF4"/>
    <w:rsid w:val="00DF179D"/>
    <w:rsid w:val="00DF1D0A"/>
    <w:rsid w:val="00DF1E9C"/>
    <w:rsid w:val="00DF30BF"/>
    <w:rsid w:val="00DF35CB"/>
    <w:rsid w:val="00DF37A5"/>
    <w:rsid w:val="00DF3ACF"/>
    <w:rsid w:val="00DF4398"/>
    <w:rsid w:val="00DF4572"/>
    <w:rsid w:val="00DF4658"/>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5C31"/>
    <w:rsid w:val="00E06C76"/>
    <w:rsid w:val="00E0728F"/>
    <w:rsid w:val="00E0755C"/>
    <w:rsid w:val="00E11923"/>
    <w:rsid w:val="00E125D6"/>
    <w:rsid w:val="00E12F5F"/>
    <w:rsid w:val="00E14A7E"/>
    <w:rsid w:val="00E14D01"/>
    <w:rsid w:val="00E151E1"/>
    <w:rsid w:val="00E16541"/>
    <w:rsid w:val="00E16D35"/>
    <w:rsid w:val="00E17619"/>
    <w:rsid w:val="00E17805"/>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F89"/>
    <w:rsid w:val="00E26150"/>
    <w:rsid w:val="00E30082"/>
    <w:rsid w:val="00E30E45"/>
    <w:rsid w:val="00E31492"/>
    <w:rsid w:val="00E32138"/>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533A"/>
    <w:rsid w:val="00E56A27"/>
    <w:rsid w:val="00E5733D"/>
    <w:rsid w:val="00E60735"/>
    <w:rsid w:val="00E60A88"/>
    <w:rsid w:val="00E60A8F"/>
    <w:rsid w:val="00E61CC0"/>
    <w:rsid w:val="00E6277B"/>
    <w:rsid w:val="00E63554"/>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CC0"/>
    <w:rsid w:val="00E70FBC"/>
    <w:rsid w:val="00E71157"/>
    <w:rsid w:val="00E728B4"/>
    <w:rsid w:val="00E72C01"/>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519F"/>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441F"/>
    <w:rsid w:val="00E949DF"/>
    <w:rsid w:val="00E94D74"/>
    <w:rsid w:val="00E95BA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5BC"/>
    <w:rsid w:val="00EB19E9"/>
    <w:rsid w:val="00EB1B27"/>
    <w:rsid w:val="00EB1DA8"/>
    <w:rsid w:val="00EB35AC"/>
    <w:rsid w:val="00EB3B5C"/>
    <w:rsid w:val="00EB3E96"/>
    <w:rsid w:val="00EB4CFF"/>
    <w:rsid w:val="00EB4E9C"/>
    <w:rsid w:val="00EB5476"/>
    <w:rsid w:val="00EB5F64"/>
    <w:rsid w:val="00EB68BF"/>
    <w:rsid w:val="00EB6FFF"/>
    <w:rsid w:val="00EB70B0"/>
    <w:rsid w:val="00EB7633"/>
    <w:rsid w:val="00EB7736"/>
    <w:rsid w:val="00EC0454"/>
    <w:rsid w:val="00EC06B4"/>
    <w:rsid w:val="00EC10F3"/>
    <w:rsid w:val="00EC1279"/>
    <w:rsid w:val="00EC13D3"/>
    <w:rsid w:val="00EC1BE5"/>
    <w:rsid w:val="00EC2B6D"/>
    <w:rsid w:val="00EC2C3D"/>
    <w:rsid w:val="00EC2E2D"/>
    <w:rsid w:val="00EC3B9A"/>
    <w:rsid w:val="00EC3F5D"/>
    <w:rsid w:val="00EC462B"/>
    <w:rsid w:val="00EC4723"/>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70F1"/>
    <w:rsid w:val="00ED71C5"/>
    <w:rsid w:val="00EE068B"/>
    <w:rsid w:val="00EE16FA"/>
    <w:rsid w:val="00EE1FEC"/>
    <w:rsid w:val="00EE2DB2"/>
    <w:rsid w:val="00EE2FCD"/>
    <w:rsid w:val="00EE33BF"/>
    <w:rsid w:val="00EE3C42"/>
    <w:rsid w:val="00EE3D4F"/>
    <w:rsid w:val="00EE4720"/>
    <w:rsid w:val="00EE534D"/>
    <w:rsid w:val="00EE5560"/>
    <w:rsid w:val="00EE65B6"/>
    <w:rsid w:val="00EE69F4"/>
    <w:rsid w:val="00EE6F1E"/>
    <w:rsid w:val="00EE706A"/>
    <w:rsid w:val="00EF0348"/>
    <w:rsid w:val="00EF13B2"/>
    <w:rsid w:val="00EF1A1B"/>
    <w:rsid w:val="00EF1F9C"/>
    <w:rsid w:val="00EF38F0"/>
    <w:rsid w:val="00EF3ABC"/>
    <w:rsid w:val="00EF40EF"/>
    <w:rsid w:val="00EF4366"/>
    <w:rsid w:val="00EF4422"/>
    <w:rsid w:val="00EF4654"/>
    <w:rsid w:val="00EF4CD6"/>
    <w:rsid w:val="00EF4F67"/>
    <w:rsid w:val="00EF55A0"/>
    <w:rsid w:val="00EF63D1"/>
    <w:rsid w:val="00EF6513"/>
    <w:rsid w:val="00EF661D"/>
    <w:rsid w:val="00EF6683"/>
    <w:rsid w:val="00EF6DDF"/>
    <w:rsid w:val="00EF7002"/>
    <w:rsid w:val="00EF769B"/>
    <w:rsid w:val="00EF77E1"/>
    <w:rsid w:val="00F005BD"/>
    <w:rsid w:val="00F006B2"/>
    <w:rsid w:val="00F0133C"/>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4C3"/>
    <w:rsid w:val="00F12E0C"/>
    <w:rsid w:val="00F133A1"/>
    <w:rsid w:val="00F13ECD"/>
    <w:rsid w:val="00F1475D"/>
    <w:rsid w:val="00F14F2D"/>
    <w:rsid w:val="00F14F9A"/>
    <w:rsid w:val="00F155CE"/>
    <w:rsid w:val="00F16190"/>
    <w:rsid w:val="00F16BF2"/>
    <w:rsid w:val="00F17AFE"/>
    <w:rsid w:val="00F17DD1"/>
    <w:rsid w:val="00F17EAE"/>
    <w:rsid w:val="00F21560"/>
    <w:rsid w:val="00F21625"/>
    <w:rsid w:val="00F218D4"/>
    <w:rsid w:val="00F22122"/>
    <w:rsid w:val="00F22127"/>
    <w:rsid w:val="00F2250A"/>
    <w:rsid w:val="00F232EE"/>
    <w:rsid w:val="00F244A7"/>
    <w:rsid w:val="00F24788"/>
    <w:rsid w:val="00F24B19"/>
    <w:rsid w:val="00F251F3"/>
    <w:rsid w:val="00F262C6"/>
    <w:rsid w:val="00F2640F"/>
    <w:rsid w:val="00F27C34"/>
    <w:rsid w:val="00F27E46"/>
    <w:rsid w:val="00F301C2"/>
    <w:rsid w:val="00F302E1"/>
    <w:rsid w:val="00F30C22"/>
    <w:rsid w:val="00F30FCD"/>
    <w:rsid w:val="00F31211"/>
    <w:rsid w:val="00F31B22"/>
    <w:rsid w:val="00F31B49"/>
    <w:rsid w:val="00F31B8A"/>
    <w:rsid w:val="00F3233B"/>
    <w:rsid w:val="00F32F56"/>
    <w:rsid w:val="00F33D4F"/>
    <w:rsid w:val="00F34CD6"/>
    <w:rsid w:val="00F35501"/>
    <w:rsid w:val="00F35873"/>
    <w:rsid w:val="00F35920"/>
    <w:rsid w:val="00F3654C"/>
    <w:rsid w:val="00F366A5"/>
    <w:rsid w:val="00F36C5F"/>
    <w:rsid w:val="00F36C7D"/>
    <w:rsid w:val="00F36EE3"/>
    <w:rsid w:val="00F37259"/>
    <w:rsid w:val="00F3783B"/>
    <w:rsid w:val="00F37CD4"/>
    <w:rsid w:val="00F37CDB"/>
    <w:rsid w:val="00F40176"/>
    <w:rsid w:val="00F405A4"/>
    <w:rsid w:val="00F40E26"/>
    <w:rsid w:val="00F41260"/>
    <w:rsid w:val="00F41747"/>
    <w:rsid w:val="00F417A8"/>
    <w:rsid w:val="00F41893"/>
    <w:rsid w:val="00F41F05"/>
    <w:rsid w:val="00F42463"/>
    <w:rsid w:val="00F433BD"/>
    <w:rsid w:val="00F43FFA"/>
    <w:rsid w:val="00F44DD3"/>
    <w:rsid w:val="00F44EC5"/>
    <w:rsid w:val="00F460C6"/>
    <w:rsid w:val="00F46865"/>
    <w:rsid w:val="00F4729F"/>
    <w:rsid w:val="00F47498"/>
    <w:rsid w:val="00F506A0"/>
    <w:rsid w:val="00F507C4"/>
    <w:rsid w:val="00F512B2"/>
    <w:rsid w:val="00F5283D"/>
    <w:rsid w:val="00F52ABA"/>
    <w:rsid w:val="00F52BC7"/>
    <w:rsid w:val="00F530BB"/>
    <w:rsid w:val="00F53BF4"/>
    <w:rsid w:val="00F54266"/>
    <w:rsid w:val="00F55043"/>
    <w:rsid w:val="00F56DCF"/>
    <w:rsid w:val="00F57034"/>
    <w:rsid w:val="00F579DE"/>
    <w:rsid w:val="00F57B41"/>
    <w:rsid w:val="00F6056B"/>
    <w:rsid w:val="00F60BE9"/>
    <w:rsid w:val="00F61AE6"/>
    <w:rsid w:val="00F61FD8"/>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4D5"/>
    <w:rsid w:val="00F817AF"/>
    <w:rsid w:val="00F818AE"/>
    <w:rsid w:val="00F819B7"/>
    <w:rsid w:val="00F81B40"/>
    <w:rsid w:val="00F81C7F"/>
    <w:rsid w:val="00F820C4"/>
    <w:rsid w:val="00F83078"/>
    <w:rsid w:val="00F834F3"/>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990"/>
    <w:rsid w:val="00F90ADB"/>
    <w:rsid w:val="00F90D69"/>
    <w:rsid w:val="00F90E78"/>
    <w:rsid w:val="00F91209"/>
    <w:rsid w:val="00F91A6D"/>
    <w:rsid w:val="00F9221F"/>
    <w:rsid w:val="00F92E62"/>
    <w:rsid w:val="00F93163"/>
    <w:rsid w:val="00F931C7"/>
    <w:rsid w:val="00F93559"/>
    <w:rsid w:val="00F93838"/>
    <w:rsid w:val="00F93D72"/>
    <w:rsid w:val="00F93E65"/>
    <w:rsid w:val="00F94070"/>
    <w:rsid w:val="00F942F1"/>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7ED9"/>
    <w:rsid w:val="00FB0082"/>
    <w:rsid w:val="00FB0243"/>
    <w:rsid w:val="00FB0B6D"/>
    <w:rsid w:val="00FB0F1A"/>
    <w:rsid w:val="00FB1527"/>
    <w:rsid w:val="00FB24CB"/>
    <w:rsid w:val="00FB2537"/>
    <w:rsid w:val="00FB33DC"/>
    <w:rsid w:val="00FB3453"/>
    <w:rsid w:val="00FB36CE"/>
    <w:rsid w:val="00FB40BB"/>
    <w:rsid w:val="00FB4338"/>
    <w:rsid w:val="00FB477E"/>
    <w:rsid w:val="00FB4C9C"/>
    <w:rsid w:val="00FB53CD"/>
    <w:rsid w:val="00FB5DF1"/>
    <w:rsid w:val="00FB6165"/>
    <w:rsid w:val="00FB6196"/>
    <w:rsid w:val="00FB6F29"/>
    <w:rsid w:val="00FC0150"/>
    <w:rsid w:val="00FC03AB"/>
    <w:rsid w:val="00FC0AD6"/>
    <w:rsid w:val="00FC160B"/>
    <w:rsid w:val="00FC3004"/>
    <w:rsid w:val="00FC31C2"/>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D7B"/>
    <w:rsid w:val="00FD33D3"/>
    <w:rsid w:val="00FD37F6"/>
    <w:rsid w:val="00FD4589"/>
    <w:rsid w:val="00FD473E"/>
    <w:rsid w:val="00FD4E76"/>
    <w:rsid w:val="00FD5083"/>
    <w:rsid w:val="00FD5108"/>
    <w:rsid w:val="00FD66CE"/>
    <w:rsid w:val="00FD7AD1"/>
    <w:rsid w:val="00FD7DF9"/>
    <w:rsid w:val="00FE069E"/>
    <w:rsid w:val="00FE0B03"/>
    <w:rsid w:val="00FE0B51"/>
    <w:rsid w:val="00FE0B78"/>
    <w:rsid w:val="00FE0ED4"/>
    <w:rsid w:val="00FE15C3"/>
    <w:rsid w:val="00FE1CDA"/>
    <w:rsid w:val="00FE1EAB"/>
    <w:rsid w:val="00FE2406"/>
    <w:rsid w:val="00FE30FE"/>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4AE2"/>
    <w:rsid w:val="00FF50A8"/>
    <w:rsid w:val="00FF571E"/>
    <w:rsid w:val="00FF58FB"/>
    <w:rsid w:val="00FF5A6B"/>
    <w:rsid w:val="00FF68AC"/>
    <w:rsid w:val="00FF6B8C"/>
    <w:rsid w:val="00FF6BD1"/>
    <w:rsid w:val="00FF6CC0"/>
    <w:rsid w:val="00FF72E7"/>
    <w:rsid w:val="00FF7512"/>
    <w:rsid w:val="00FF7563"/>
    <w:rsid w:val="00FF780B"/>
    <w:rsid w:val="05F78FE5"/>
    <w:rsid w:val="0DE943F3"/>
    <w:rsid w:val="106FCF2B"/>
    <w:rsid w:val="16D3174A"/>
    <w:rsid w:val="18BD732B"/>
    <w:rsid w:val="1CFF7FD3"/>
    <w:rsid w:val="1DF70F6A"/>
    <w:rsid w:val="1EE75C33"/>
    <w:rsid w:val="1F29826E"/>
    <w:rsid w:val="1FF72A0E"/>
    <w:rsid w:val="1FFF1341"/>
    <w:rsid w:val="25DE4399"/>
    <w:rsid w:val="26DF2682"/>
    <w:rsid w:val="27AB989F"/>
    <w:rsid w:val="27FF1F80"/>
    <w:rsid w:val="2AEF84C7"/>
    <w:rsid w:val="2DBF04AD"/>
    <w:rsid w:val="2EADF1FD"/>
    <w:rsid w:val="2EFF3E93"/>
    <w:rsid w:val="2F7FB70E"/>
    <w:rsid w:val="2FFB0CC4"/>
    <w:rsid w:val="32DD150D"/>
    <w:rsid w:val="32FBEF00"/>
    <w:rsid w:val="33FDCD6F"/>
    <w:rsid w:val="34EFF344"/>
    <w:rsid w:val="35DD7A0D"/>
    <w:rsid w:val="3972B621"/>
    <w:rsid w:val="39EFDB7E"/>
    <w:rsid w:val="39FCCFFD"/>
    <w:rsid w:val="3A7F96DF"/>
    <w:rsid w:val="3B9E671F"/>
    <w:rsid w:val="3B9F597D"/>
    <w:rsid w:val="3BAFBCE0"/>
    <w:rsid w:val="3BDFC476"/>
    <w:rsid w:val="3BF644D5"/>
    <w:rsid w:val="3CF51DE6"/>
    <w:rsid w:val="3DBF2EBC"/>
    <w:rsid w:val="3DD6A687"/>
    <w:rsid w:val="3DFFBA16"/>
    <w:rsid w:val="3E7C1CDE"/>
    <w:rsid w:val="3EBD6BF3"/>
    <w:rsid w:val="3EFEAA14"/>
    <w:rsid w:val="3F7E64A7"/>
    <w:rsid w:val="3FBB57D8"/>
    <w:rsid w:val="3FEFA4B3"/>
    <w:rsid w:val="3FFD46F3"/>
    <w:rsid w:val="3FFFA26F"/>
    <w:rsid w:val="447BDCBE"/>
    <w:rsid w:val="4AEDE4C1"/>
    <w:rsid w:val="4F76A469"/>
    <w:rsid w:val="4F7F3B68"/>
    <w:rsid w:val="4FE57D86"/>
    <w:rsid w:val="4FEF1068"/>
    <w:rsid w:val="535FFDB0"/>
    <w:rsid w:val="55EB470E"/>
    <w:rsid w:val="56FDDB44"/>
    <w:rsid w:val="57939F6F"/>
    <w:rsid w:val="57EDD8EF"/>
    <w:rsid w:val="58A7542B"/>
    <w:rsid w:val="59EFD40E"/>
    <w:rsid w:val="5AEB05AE"/>
    <w:rsid w:val="5B75C02F"/>
    <w:rsid w:val="5BDF0D3C"/>
    <w:rsid w:val="5BF6AD15"/>
    <w:rsid w:val="5BF777B6"/>
    <w:rsid w:val="5BFF2ADC"/>
    <w:rsid w:val="5D6F7963"/>
    <w:rsid w:val="5DED8772"/>
    <w:rsid w:val="5DEE4D81"/>
    <w:rsid w:val="5EFFD04F"/>
    <w:rsid w:val="5F5646EC"/>
    <w:rsid w:val="5F73C51D"/>
    <w:rsid w:val="5F74CFC0"/>
    <w:rsid w:val="5F7E372B"/>
    <w:rsid w:val="5F7F9094"/>
    <w:rsid w:val="5F9F969D"/>
    <w:rsid w:val="5FDF63AD"/>
    <w:rsid w:val="5FF7822B"/>
    <w:rsid w:val="5FFEBC4B"/>
    <w:rsid w:val="63645CDB"/>
    <w:rsid w:val="67CE7FF0"/>
    <w:rsid w:val="67ED0732"/>
    <w:rsid w:val="67FA2177"/>
    <w:rsid w:val="67FE73B7"/>
    <w:rsid w:val="6BFB21CC"/>
    <w:rsid w:val="6BFE1EE1"/>
    <w:rsid w:val="6C25B112"/>
    <w:rsid w:val="6C7B7C50"/>
    <w:rsid w:val="6CFF6899"/>
    <w:rsid w:val="6DE7BB94"/>
    <w:rsid w:val="6E6A0DE4"/>
    <w:rsid w:val="6E7397AA"/>
    <w:rsid w:val="6ECB0A44"/>
    <w:rsid w:val="6EF75BF1"/>
    <w:rsid w:val="6FFE56FE"/>
    <w:rsid w:val="6FFF8B1E"/>
    <w:rsid w:val="6FFFF902"/>
    <w:rsid w:val="736FAE36"/>
    <w:rsid w:val="7533C570"/>
    <w:rsid w:val="75CEE238"/>
    <w:rsid w:val="75F69DC1"/>
    <w:rsid w:val="75FB90A0"/>
    <w:rsid w:val="75FE21DE"/>
    <w:rsid w:val="76FB073C"/>
    <w:rsid w:val="76FB3249"/>
    <w:rsid w:val="76FE736A"/>
    <w:rsid w:val="772FD57A"/>
    <w:rsid w:val="777BBCEC"/>
    <w:rsid w:val="77915C28"/>
    <w:rsid w:val="77EBEC67"/>
    <w:rsid w:val="77F3EC90"/>
    <w:rsid w:val="77FEAB39"/>
    <w:rsid w:val="77FF795A"/>
    <w:rsid w:val="785F1A0D"/>
    <w:rsid w:val="78FA6F1E"/>
    <w:rsid w:val="79443FC3"/>
    <w:rsid w:val="797B9F09"/>
    <w:rsid w:val="79BD2F68"/>
    <w:rsid w:val="79EDA234"/>
    <w:rsid w:val="79EF4572"/>
    <w:rsid w:val="7A7B4DBC"/>
    <w:rsid w:val="7AEBD382"/>
    <w:rsid w:val="7B6A82B8"/>
    <w:rsid w:val="7BBA9EB3"/>
    <w:rsid w:val="7BCF8330"/>
    <w:rsid w:val="7BDAED8E"/>
    <w:rsid w:val="7BDF717B"/>
    <w:rsid w:val="7BE94FDC"/>
    <w:rsid w:val="7BFD7755"/>
    <w:rsid w:val="7BFED745"/>
    <w:rsid w:val="7BFFD980"/>
    <w:rsid w:val="7C66B9B9"/>
    <w:rsid w:val="7CCFE7F0"/>
    <w:rsid w:val="7CEFE6E7"/>
    <w:rsid w:val="7CFDF751"/>
    <w:rsid w:val="7CFF591C"/>
    <w:rsid w:val="7D1DEBEA"/>
    <w:rsid w:val="7DAE6279"/>
    <w:rsid w:val="7DD7F3C1"/>
    <w:rsid w:val="7DDD6EFE"/>
    <w:rsid w:val="7DDE63AB"/>
    <w:rsid w:val="7DF7DF25"/>
    <w:rsid w:val="7DFBE79E"/>
    <w:rsid w:val="7DFE8EA1"/>
    <w:rsid w:val="7E6FCB0A"/>
    <w:rsid w:val="7E7FEB0F"/>
    <w:rsid w:val="7E8B4DC6"/>
    <w:rsid w:val="7EAA00DF"/>
    <w:rsid w:val="7EADB7F1"/>
    <w:rsid w:val="7EAF1646"/>
    <w:rsid w:val="7EC3922B"/>
    <w:rsid w:val="7EDB5A3D"/>
    <w:rsid w:val="7EDF13EE"/>
    <w:rsid w:val="7EFD22BA"/>
    <w:rsid w:val="7EFE33CA"/>
    <w:rsid w:val="7EFE8CD2"/>
    <w:rsid w:val="7F4964A8"/>
    <w:rsid w:val="7F4DC04D"/>
    <w:rsid w:val="7F76432D"/>
    <w:rsid w:val="7F779D61"/>
    <w:rsid w:val="7F7D5A33"/>
    <w:rsid w:val="7F9F8727"/>
    <w:rsid w:val="7FB54455"/>
    <w:rsid w:val="7FBB4756"/>
    <w:rsid w:val="7FBB8D4F"/>
    <w:rsid w:val="7FBDB785"/>
    <w:rsid w:val="7FBF6692"/>
    <w:rsid w:val="7FC43B7C"/>
    <w:rsid w:val="7FDDAF43"/>
    <w:rsid w:val="7FDFE181"/>
    <w:rsid w:val="7FE7C4A0"/>
    <w:rsid w:val="7FF4751E"/>
    <w:rsid w:val="7FF7B8FE"/>
    <w:rsid w:val="7FF7F176"/>
    <w:rsid w:val="7FF9790C"/>
    <w:rsid w:val="7FFB912A"/>
    <w:rsid w:val="7FFBD01D"/>
    <w:rsid w:val="7FFBD08B"/>
    <w:rsid w:val="7FFC7A53"/>
    <w:rsid w:val="7FFD3CD2"/>
    <w:rsid w:val="7FFFCBA6"/>
    <w:rsid w:val="833F893B"/>
    <w:rsid w:val="8DAF86FA"/>
    <w:rsid w:val="941512CA"/>
    <w:rsid w:val="95BF5973"/>
    <w:rsid w:val="96F4D927"/>
    <w:rsid w:val="9DB67077"/>
    <w:rsid w:val="9E7B4F33"/>
    <w:rsid w:val="9FBB5392"/>
    <w:rsid w:val="9FF589B4"/>
    <w:rsid w:val="9FF8BB96"/>
    <w:rsid w:val="A0EFB538"/>
    <w:rsid w:val="A57B2F2A"/>
    <w:rsid w:val="A673A421"/>
    <w:rsid w:val="A7F9B835"/>
    <w:rsid w:val="A8FEE3D4"/>
    <w:rsid w:val="A95FCC50"/>
    <w:rsid w:val="AAFD3C05"/>
    <w:rsid w:val="ABBB43DE"/>
    <w:rsid w:val="AD7B075A"/>
    <w:rsid w:val="ADE5EA71"/>
    <w:rsid w:val="AF7FC11A"/>
    <w:rsid w:val="AFF71C8A"/>
    <w:rsid w:val="AFFA46E2"/>
    <w:rsid w:val="AFFFB7DF"/>
    <w:rsid w:val="B2A79961"/>
    <w:rsid w:val="B3B7487B"/>
    <w:rsid w:val="B3FB768B"/>
    <w:rsid w:val="B62F215A"/>
    <w:rsid w:val="B6BF6B39"/>
    <w:rsid w:val="B6FF3C76"/>
    <w:rsid w:val="B74F3B71"/>
    <w:rsid w:val="B7B5689F"/>
    <w:rsid w:val="B7BC3EFE"/>
    <w:rsid w:val="B7DF3D12"/>
    <w:rsid w:val="B7DFBB9A"/>
    <w:rsid w:val="B7F7FF89"/>
    <w:rsid w:val="B8EB159C"/>
    <w:rsid w:val="B95B893B"/>
    <w:rsid w:val="B9BE12AF"/>
    <w:rsid w:val="B9D63706"/>
    <w:rsid w:val="BB1F030A"/>
    <w:rsid w:val="BBFE7A14"/>
    <w:rsid w:val="BBFFA884"/>
    <w:rsid w:val="BD7E6E61"/>
    <w:rsid w:val="BDBF34E9"/>
    <w:rsid w:val="BDD5CD13"/>
    <w:rsid w:val="BE3EC1F5"/>
    <w:rsid w:val="BE7F5F9E"/>
    <w:rsid w:val="BE9D8773"/>
    <w:rsid w:val="BE9E7224"/>
    <w:rsid w:val="BF7F12CE"/>
    <w:rsid w:val="BFB7FB16"/>
    <w:rsid w:val="BFBD8ADD"/>
    <w:rsid w:val="BFDE65BA"/>
    <w:rsid w:val="BFDE87D0"/>
    <w:rsid w:val="BFDF17E4"/>
    <w:rsid w:val="BFDFC5F6"/>
    <w:rsid w:val="BFEE2123"/>
    <w:rsid w:val="BFF35AB7"/>
    <w:rsid w:val="BFFE60F2"/>
    <w:rsid w:val="BFFFCE66"/>
    <w:rsid w:val="C7B380E7"/>
    <w:rsid w:val="C7B4CED4"/>
    <w:rsid w:val="C7BADF7A"/>
    <w:rsid w:val="CBEF189C"/>
    <w:rsid w:val="CE9C1C63"/>
    <w:rsid w:val="CFE79E35"/>
    <w:rsid w:val="CFFDEDC3"/>
    <w:rsid w:val="CFFFC643"/>
    <w:rsid w:val="D23F2D48"/>
    <w:rsid w:val="D2F7E50D"/>
    <w:rsid w:val="D5FACAD5"/>
    <w:rsid w:val="D5FEC03F"/>
    <w:rsid w:val="D6577636"/>
    <w:rsid w:val="D76DDC0B"/>
    <w:rsid w:val="D77FE7D3"/>
    <w:rsid w:val="D795C38D"/>
    <w:rsid w:val="D7FD697A"/>
    <w:rsid w:val="D89F41A5"/>
    <w:rsid w:val="D9E51A86"/>
    <w:rsid w:val="DABF11A9"/>
    <w:rsid w:val="DB511E72"/>
    <w:rsid w:val="DB970DFE"/>
    <w:rsid w:val="DDAF40A4"/>
    <w:rsid w:val="DDBD68F8"/>
    <w:rsid w:val="DDC4BB73"/>
    <w:rsid w:val="DDDE69D2"/>
    <w:rsid w:val="DDF83D3E"/>
    <w:rsid w:val="DDFFFD3C"/>
    <w:rsid w:val="DEDF25A2"/>
    <w:rsid w:val="DF6F6EF4"/>
    <w:rsid w:val="DF794FDF"/>
    <w:rsid w:val="DF7D0DA1"/>
    <w:rsid w:val="DF7D3977"/>
    <w:rsid w:val="DF9EBF3A"/>
    <w:rsid w:val="DFCEF229"/>
    <w:rsid w:val="DFD9C4F4"/>
    <w:rsid w:val="DFE4BC93"/>
    <w:rsid w:val="DFEF0CFC"/>
    <w:rsid w:val="DFEF82ED"/>
    <w:rsid w:val="DFEF8619"/>
    <w:rsid w:val="DFF4D64E"/>
    <w:rsid w:val="DFF7D1A1"/>
    <w:rsid w:val="DFFCB3CA"/>
    <w:rsid w:val="E1E76C38"/>
    <w:rsid w:val="E53F1ED3"/>
    <w:rsid w:val="E5DEC0AE"/>
    <w:rsid w:val="E73F53DF"/>
    <w:rsid w:val="E752E221"/>
    <w:rsid w:val="E7CBA05A"/>
    <w:rsid w:val="E7D55E71"/>
    <w:rsid w:val="E7DB5FD2"/>
    <w:rsid w:val="EABF8F29"/>
    <w:rsid w:val="EBBA07AC"/>
    <w:rsid w:val="EDBF1A88"/>
    <w:rsid w:val="EDD9988A"/>
    <w:rsid w:val="EE77960A"/>
    <w:rsid w:val="EE9EDF13"/>
    <w:rsid w:val="EEDFB0FD"/>
    <w:rsid w:val="EEFA74FE"/>
    <w:rsid w:val="EF17CD35"/>
    <w:rsid w:val="EF372A3F"/>
    <w:rsid w:val="EF753F12"/>
    <w:rsid w:val="EFD2682A"/>
    <w:rsid w:val="EFEE924C"/>
    <w:rsid w:val="EFF0C269"/>
    <w:rsid w:val="EFF86C96"/>
    <w:rsid w:val="F396C8CC"/>
    <w:rsid w:val="F3DB9F3A"/>
    <w:rsid w:val="F3FDB845"/>
    <w:rsid w:val="F43B9430"/>
    <w:rsid w:val="F4C14380"/>
    <w:rsid w:val="F56DC59F"/>
    <w:rsid w:val="F5EFF3D0"/>
    <w:rsid w:val="F5F2BFB0"/>
    <w:rsid w:val="F6B74593"/>
    <w:rsid w:val="F6B98023"/>
    <w:rsid w:val="F6FC75E8"/>
    <w:rsid w:val="F73F688B"/>
    <w:rsid w:val="F777DCBC"/>
    <w:rsid w:val="F77F72A6"/>
    <w:rsid w:val="F7A7F64F"/>
    <w:rsid w:val="F7C8B8C1"/>
    <w:rsid w:val="F7D80FB7"/>
    <w:rsid w:val="F7E449EE"/>
    <w:rsid w:val="F97D5253"/>
    <w:rsid w:val="F9AE3B8C"/>
    <w:rsid w:val="F9BC6AD9"/>
    <w:rsid w:val="F9F9CEB4"/>
    <w:rsid w:val="F9FF26FA"/>
    <w:rsid w:val="FA04B812"/>
    <w:rsid w:val="FBA8C51C"/>
    <w:rsid w:val="FBF73EC7"/>
    <w:rsid w:val="FBFF1DD5"/>
    <w:rsid w:val="FCF70F2B"/>
    <w:rsid w:val="FCFFBF74"/>
    <w:rsid w:val="FD07A389"/>
    <w:rsid w:val="FD3FB0FD"/>
    <w:rsid w:val="FD4BD30B"/>
    <w:rsid w:val="FD9E57F1"/>
    <w:rsid w:val="FDBE6875"/>
    <w:rsid w:val="FDC76148"/>
    <w:rsid w:val="FDF69CC3"/>
    <w:rsid w:val="FDF71682"/>
    <w:rsid w:val="FDFFC3D1"/>
    <w:rsid w:val="FEAE00A6"/>
    <w:rsid w:val="FEC777A1"/>
    <w:rsid w:val="FED7F1BD"/>
    <w:rsid w:val="FEDF3970"/>
    <w:rsid w:val="FEEEDD4D"/>
    <w:rsid w:val="FEFD37E5"/>
    <w:rsid w:val="FEFF78DF"/>
    <w:rsid w:val="FEFFE5E0"/>
    <w:rsid w:val="FF26F4CC"/>
    <w:rsid w:val="FF577E31"/>
    <w:rsid w:val="FF591539"/>
    <w:rsid w:val="FF5FD77A"/>
    <w:rsid w:val="FF7B536A"/>
    <w:rsid w:val="FF7B7607"/>
    <w:rsid w:val="FF7F839C"/>
    <w:rsid w:val="FF8985E2"/>
    <w:rsid w:val="FFBE8F3B"/>
    <w:rsid w:val="FFBF1D64"/>
    <w:rsid w:val="FFBFB47F"/>
    <w:rsid w:val="FFBFCEB0"/>
    <w:rsid w:val="FFCFC524"/>
    <w:rsid w:val="FFD4AF12"/>
    <w:rsid w:val="FFE6E1A0"/>
    <w:rsid w:val="FFEB0A23"/>
    <w:rsid w:val="FFF3DD22"/>
    <w:rsid w:val="FFF7F07E"/>
    <w:rsid w:val="FFF8A5FA"/>
    <w:rsid w:val="FFFC1C18"/>
    <w:rsid w:val="FFFE5A16"/>
    <w:rsid w:val="FFFF06D9"/>
    <w:rsid w:val="FFFF301D"/>
    <w:rsid w:val="FFFF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iPriority="0" w:semiHidden="0" w:name="annotation text"/>
    <w:lsdException w:qFormat="1" w:unhideWhenUsed="0" w:uiPriority="0"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tabs>
        <w:tab w:val="clear" w:pos="432"/>
      </w:tabs>
      <w:spacing w:before="120"/>
      <w:outlineLvl w:val="0"/>
    </w:pPr>
    <w:rPr>
      <w:b/>
      <w:bCs/>
      <w:sz w:val="28"/>
      <w:szCs w:val="28"/>
    </w:rPr>
  </w:style>
  <w:style w:type="paragraph" w:styleId="3">
    <w:name w:val="heading 2"/>
    <w:basedOn w:val="1"/>
    <w:next w:val="1"/>
    <w:qFormat/>
    <w:uiPriority w:val="9"/>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tabs>
        <w:tab w:val="left" w:pos="432"/>
      </w:tabs>
      <w:spacing w:before="120"/>
      <w:outlineLvl w:val="2"/>
    </w:pPr>
    <w:rPr>
      <w:b/>
    </w:rPr>
  </w:style>
  <w:style w:type="paragraph" w:styleId="5">
    <w:name w:val="heading 4"/>
    <w:basedOn w:val="1"/>
    <w:next w:val="1"/>
    <w:qFormat/>
    <w:uiPriority w:val="9"/>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9"/>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9"/>
    <w:pPr>
      <w:numPr>
        <w:ilvl w:val="5"/>
        <w:numId w:val="1"/>
      </w:numPr>
      <w:spacing w:before="240" w:after="60"/>
      <w:outlineLvl w:val="5"/>
    </w:pPr>
    <w:rPr>
      <w:b/>
      <w:bCs/>
    </w:rPr>
  </w:style>
  <w:style w:type="paragraph" w:styleId="8">
    <w:name w:val="heading 7"/>
    <w:basedOn w:val="1"/>
    <w:next w:val="1"/>
    <w:qFormat/>
    <w:uiPriority w:val="9"/>
    <w:pPr>
      <w:numPr>
        <w:ilvl w:val="6"/>
        <w:numId w:val="1"/>
      </w:numPr>
      <w:spacing w:before="240" w:after="60"/>
      <w:outlineLvl w:val="6"/>
    </w:pPr>
    <w:rPr>
      <w:sz w:val="24"/>
      <w:szCs w:val="24"/>
    </w:rPr>
  </w:style>
  <w:style w:type="paragraph" w:styleId="9">
    <w:name w:val="heading 8"/>
    <w:basedOn w:val="1"/>
    <w:next w:val="1"/>
    <w:qFormat/>
    <w:uiPriority w:val="9"/>
    <w:pPr>
      <w:numPr>
        <w:ilvl w:val="7"/>
        <w:numId w:val="1"/>
      </w:numPr>
      <w:spacing w:before="240" w:after="60"/>
      <w:outlineLvl w:val="7"/>
    </w:pPr>
    <w:rPr>
      <w:i/>
      <w:iCs/>
      <w:sz w:val="24"/>
      <w:szCs w:val="24"/>
    </w:rPr>
  </w:style>
  <w:style w:type="paragraph" w:styleId="10">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semiHidden/>
    <w:unhideWhenUsed/>
    <w:uiPriority w:val="0"/>
    <w:pPr>
      <w:ind w:left="100" w:leftChars="400" w:hanging="200" w:hangingChars="200"/>
      <w:contextualSpacing/>
    </w:pPr>
  </w:style>
  <w:style w:type="paragraph" w:styleId="12">
    <w:name w:val="caption"/>
    <w:basedOn w:val="1"/>
    <w:next w:val="1"/>
    <w:link w:val="37"/>
    <w:qFormat/>
    <w:uiPriority w:val="0"/>
    <w:pPr>
      <w:jc w:val="center"/>
    </w:pPr>
    <w:rPr>
      <w:b/>
      <w:bCs/>
      <w:sz w:val="20"/>
      <w:szCs w:val="20"/>
    </w:rPr>
  </w:style>
  <w:style w:type="paragraph" w:styleId="13">
    <w:name w:val="List Bullet"/>
    <w:basedOn w:val="14"/>
    <w:uiPriority w:val="0"/>
    <w:pPr>
      <w:autoSpaceDE/>
      <w:autoSpaceDN/>
      <w:adjustRightInd/>
      <w:spacing w:after="180"/>
      <w:ind w:left="568" w:hanging="284"/>
      <w:jc w:val="left"/>
    </w:pPr>
    <w:rPr>
      <w:sz w:val="20"/>
      <w:szCs w:val="20"/>
      <w:lang w:val="en-GB"/>
    </w:rPr>
  </w:style>
  <w:style w:type="paragraph" w:styleId="14">
    <w:name w:val="List"/>
    <w:basedOn w:val="1"/>
    <w:uiPriority w:val="0"/>
    <w:pPr>
      <w:ind w:left="360" w:hanging="360"/>
    </w:pPr>
  </w:style>
  <w:style w:type="paragraph" w:styleId="15">
    <w:name w:val="annotation text"/>
    <w:basedOn w:val="1"/>
    <w:link w:val="53"/>
    <w:unhideWhenUsed/>
    <w:qFormat/>
    <w:uiPriority w:val="0"/>
    <w:pPr>
      <w:jc w:val="left"/>
    </w:pPr>
  </w:style>
  <w:style w:type="paragraph" w:styleId="16">
    <w:name w:val="List Bullet 3"/>
    <w:basedOn w:val="1"/>
    <w:uiPriority w:val="0"/>
    <w:pPr>
      <w:numPr>
        <w:ilvl w:val="0"/>
        <w:numId w:val="2"/>
      </w:numPr>
      <w:autoSpaceDE/>
      <w:autoSpaceDN/>
      <w:adjustRightInd/>
      <w:snapToGrid/>
      <w:spacing w:after="240"/>
      <w:jc w:val="left"/>
    </w:pPr>
    <w:rPr>
      <w:rFonts w:eastAsia="Times New Roman"/>
      <w:sz w:val="24"/>
      <w:szCs w:val="24"/>
      <w:lang w:val="zh-CN" w:eastAsia="zh-CN"/>
    </w:rPr>
  </w:style>
  <w:style w:type="paragraph" w:styleId="17">
    <w:name w:val="Body Text"/>
    <w:basedOn w:val="1"/>
    <w:link w:val="36"/>
    <w:uiPriority w:val="0"/>
    <w:rPr>
      <w:sz w:val="20"/>
      <w:szCs w:val="20"/>
    </w:rPr>
  </w:style>
  <w:style w:type="paragraph" w:styleId="18">
    <w:name w:val="List 2"/>
    <w:basedOn w:val="1"/>
    <w:semiHidden/>
    <w:unhideWhenUsed/>
    <w:uiPriority w:val="0"/>
    <w:pPr>
      <w:ind w:left="100" w:leftChars="200" w:hanging="200" w:hangingChars="200"/>
      <w:contextualSpacing/>
    </w:pPr>
  </w:style>
  <w:style w:type="paragraph" w:styleId="19">
    <w:name w:val="List Bullet 2"/>
    <w:basedOn w:val="1"/>
    <w:uiPriority w:val="0"/>
    <w:pPr>
      <w:numPr>
        <w:ilvl w:val="0"/>
        <w:numId w:val="3"/>
      </w:numPr>
      <w:autoSpaceDE/>
      <w:autoSpaceDN/>
      <w:adjustRightInd/>
      <w:snapToGrid/>
      <w:spacing w:after="240"/>
      <w:jc w:val="left"/>
    </w:pPr>
    <w:rPr>
      <w:rFonts w:eastAsia="Times New Roman"/>
      <w:sz w:val="24"/>
      <w:szCs w:val="24"/>
      <w:lang w:val="zh-CN" w:eastAsia="zh-CN"/>
    </w:rPr>
  </w:style>
  <w:style w:type="paragraph" w:styleId="20">
    <w:name w:val="Balloon Text"/>
    <w:basedOn w:val="1"/>
    <w:semiHidden/>
    <w:uiPriority w:val="0"/>
    <w:rPr>
      <w:rFonts w:ascii="Tahoma" w:hAnsi="Tahoma" w:cs="Tahoma"/>
      <w:sz w:val="16"/>
      <w:szCs w:val="16"/>
    </w:rPr>
  </w:style>
  <w:style w:type="paragraph" w:styleId="21">
    <w:name w:val="footer"/>
    <w:basedOn w:val="1"/>
    <w:link w:val="44"/>
    <w:uiPriority w:val="99"/>
    <w:pPr>
      <w:tabs>
        <w:tab w:val="center" w:pos="4680"/>
        <w:tab w:val="right" w:pos="9360"/>
      </w:tabs>
    </w:pPr>
  </w:style>
  <w:style w:type="paragraph" w:styleId="22">
    <w:name w:val="header"/>
    <w:basedOn w:val="1"/>
    <w:link w:val="43"/>
    <w:qFormat/>
    <w:uiPriority w:val="0"/>
    <w:pPr>
      <w:tabs>
        <w:tab w:val="center" w:pos="4680"/>
        <w:tab w:val="right" w:pos="9360"/>
      </w:tabs>
    </w:pPr>
  </w:style>
  <w:style w:type="paragraph" w:styleId="23">
    <w:name w:val="footnote text"/>
    <w:basedOn w:val="1"/>
    <w:semiHidden/>
    <w:uiPriority w:val="0"/>
    <w:rPr>
      <w:sz w:val="20"/>
      <w:szCs w:val="20"/>
    </w:rPr>
  </w:style>
  <w:style w:type="paragraph" w:styleId="24">
    <w:name w:val="Body Text 2"/>
    <w:basedOn w:val="1"/>
    <w:uiPriority w:val="0"/>
    <w:pPr>
      <w:spacing w:after="0"/>
      <w:jc w:val="left"/>
    </w:pPr>
    <w:rPr>
      <w:szCs w:val="20"/>
    </w:rPr>
  </w:style>
  <w:style w:type="paragraph" w:styleId="25">
    <w:name w:val="Normal (Web)"/>
    <w:basedOn w:val="1"/>
    <w:unhideWhenUsed/>
    <w:uiPriority w:val="99"/>
    <w:pPr>
      <w:autoSpaceDE/>
      <w:autoSpaceDN/>
      <w:adjustRightInd/>
      <w:snapToGrid/>
      <w:spacing w:before="100" w:beforeAutospacing="1" w:after="100" w:afterAutospacing="1"/>
      <w:jc w:val="left"/>
    </w:pPr>
    <w:rPr>
      <w:rFonts w:eastAsia="Times New Roman"/>
      <w:sz w:val="24"/>
      <w:szCs w:val="24"/>
    </w:rPr>
  </w:style>
  <w:style w:type="paragraph" w:styleId="26">
    <w:name w:val="annotation subject"/>
    <w:basedOn w:val="15"/>
    <w:next w:val="15"/>
    <w:link w:val="54"/>
    <w:semiHidden/>
    <w:unhideWhenUsed/>
    <w:uiPriority w:val="0"/>
    <w:rPr>
      <w:b/>
      <w:bCs/>
    </w:rPr>
  </w:style>
  <w:style w:type="table" w:styleId="28">
    <w:name w:val="Table Grid"/>
    <w:basedOn w:val="2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rPr>
  </w:style>
  <w:style w:type="character" w:styleId="31">
    <w:name w:val="FollowedHyperlink"/>
    <w:basedOn w:val="29"/>
    <w:uiPriority w:val="0"/>
    <w:rPr>
      <w:color w:val="800080"/>
      <w:u w:val="single"/>
    </w:rPr>
  </w:style>
  <w:style w:type="character" w:styleId="32">
    <w:name w:val="Hyperlink"/>
    <w:basedOn w:val="33"/>
    <w:uiPriority w:val="99"/>
    <w:rPr>
      <w:color w:val="0000FF"/>
      <w:u w:val="single"/>
    </w:rPr>
  </w:style>
  <w:style w:type="character" w:customStyle="1" w:styleId="33">
    <w:name w:val="Body Text Char"/>
    <w:basedOn w:val="29"/>
    <w:link w:val="17"/>
    <w:uiPriority w:val="0"/>
  </w:style>
  <w:style w:type="character" w:styleId="34">
    <w:name w:val="annotation reference"/>
    <w:basedOn w:val="29"/>
    <w:unhideWhenUsed/>
    <w:qFormat/>
    <w:uiPriority w:val="0"/>
    <w:rPr>
      <w:sz w:val="21"/>
      <w:szCs w:val="21"/>
    </w:rPr>
  </w:style>
  <w:style w:type="character" w:styleId="35">
    <w:name w:val="footnote reference"/>
    <w:basedOn w:val="29"/>
    <w:semiHidden/>
    <w:uiPriority w:val="0"/>
    <w:rPr>
      <w:vertAlign w:val="superscript"/>
    </w:rPr>
  </w:style>
  <w:style w:type="character" w:customStyle="1" w:styleId="36">
    <w:name w:val="正文文本 字符"/>
    <w:basedOn w:val="29"/>
    <w:link w:val="17"/>
    <w:uiPriority w:val="0"/>
  </w:style>
  <w:style w:type="character" w:customStyle="1" w:styleId="37">
    <w:name w:val="题注 字符"/>
    <w:basedOn w:val="29"/>
    <w:link w:val="12"/>
    <w:uiPriority w:val="0"/>
    <w:rPr>
      <w:b/>
      <w:bCs/>
    </w:rPr>
  </w:style>
  <w:style w:type="paragraph" w:customStyle="1" w:styleId="38">
    <w:name w:val="References"/>
    <w:basedOn w:val="1"/>
    <w:uiPriority w:val="0"/>
    <w:pPr>
      <w:numPr>
        <w:ilvl w:val="0"/>
        <w:numId w:val="4"/>
      </w:numPr>
      <w:adjustRightInd/>
      <w:spacing w:after="60"/>
    </w:pPr>
    <w:rPr>
      <w:sz w:val="20"/>
      <w:szCs w:val="16"/>
    </w:rPr>
  </w:style>
  <w:style w:type="paragraph" w:customStyle="1" w:styleId="39">
    <w:name w:val="_Style 26"/>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jc w:val="left"/>
    </w:pPr>
  </w:style>
  <w:style w:type="character" w:customStyle="1" w:styleId="43">
    <w:name w:val="页眉 字符"/>
    <w:basedOn w:val="29"/>
    <w:link w:val="22"/>
    <w:qFormat/>
    <w:uiPriority w:val="0"/>
    <w:rPr>
      <w:sz w:val="22"/>
      <w:szCs w:val="22"/>
    </w:rPr>
  </w:style>
  <w:style w:type="character" w:customStyle="1" w:styleId="44">
    <w:name w:val="页脚 字符"/>
    <w:basedOn w:val="29"/>
    <w:link w:val="21"/>
    <w:uiPriority w:val="99"/>
    <w:rPr>
      <w:sz w:val="22"/>
      <w:szCs w:val="22"/>
    </w:rPr>
  </w:style>
  <w:style w:type="paragraph" w:customStyle="1" w:styleId="45">
    <w:name w:val="tablecol"/>
    <w:basedOn w:val="42"/>
    <w:qFormat/>
    <w:uiPriority w:val="0"/>
    <w:pPr>
      <w:jc w:val="center"/>
    </w:pPr>
    <w:rPr>
      <w:b/>
    </w:rPr>
  </w:style>
  <w:style w:type="paragraph" w:customStyle="1" w:styleId="46">
    <w:name w:val="B1"/>
    <w:basedOn w:val="14"/>
    <w:link w:val="57"/>
    <w:qFormat/>
    <w:uiPriority w:val="0"/>
    <w:pPr>
      <w:overflowPunct w:val="0"/>
      <w:snapToGrid/>
      <w:spacing w:after="180"/>
      <w:ind w:left="568" w:hanging="284"/>
      <w:jc w:val="left"/>
      <w:textAlignment w:val="baseline"/>
    </w:pPr>
    <w:rPr>
      <w:rFonts w:eastAsia="MS Mincho"/>
      <w:sz w:val="20"/>
      <w:szCs w:val="20"/>
      <w:lang w:val="en-GB"/>
    </w:rPr>
  </w:style>
  <w:style w:type="paragraph" w:customStyle="1" w:styleId="47">
    <w:name w:val="B2"/>
    <w:basedOn w:val="18"/>
    <w:uiPriority w:val="99"/>
    <w:pPr>
      <w:overflowPunct w:val="0"/>
      <w:snapToGrid/>
      <w:spacing w:after="180"/>
      <w:ind w:left="851" w:leftChars="0" w:hanging="284" w:firstLineChars="0"/>
      <w:contextualSpacing w:val="0"/>
      <w:jc w:val="left"/>
      <w:textAlignment w:val="baseline"/>
    </w:pPr>
    <w:rPr>
      <w:rFonts w:eastAsia="MS Mincho"/>
      <w:sz w:val="20"/>
      <w:szCs w:val="20"/>
      <w:lang w:val="en-GB"/>
    </w:rPr>
  </w:style>
  <w:style w:type="paragraph" w:customStyle="1" w:styleId="48">
    <w:name w:val="B3"/>
    <w:basedOn w:val="11"/>
    <w:uiPriority w:val="0"/>
    <w:pPr>
      <w:overflowPunct w:val="0"/>
      <w:snapToGrid/>
      <w:spacing w:after="180"/>
      <w:ind w:left="1135" w:leftChars="0" w:hanging="284" w:firstLineChars="0"/>
      <w:contextualSpacing w:val="0"/>
      <w:jc w:val="left"/>
      <w:textAlignment w:val="baseline"/>
    </w:pPr>
    <w:rPr>
      <w:rFonts w:eastAsia="MS Mincho"/>
      <w:sz w:val="20"/>
      <w:szCs w:val="20"/>
      <w:lang w:val="en-GB"/>
    </w:rPr>
  </w:style>
  <w:style w:type="paragraph" w:styleId="49">
    <w:name w:val="List Paragraph"/>
    <w:basedOn w:val="1"/>
    <w:link w:val="50"/>
    <w:qFormat/>
    <w:uiPriority w:val="34"/>
    <w:pPr>
      <w:autoSpaceDE/>
      <w:autoSpaceDN/>
      <w:adjustRightInd/>
      <w:snapToGrid/>
      <w:spacing w:after="0"/>
      <w:ind w:firstLine="420"/>
      <w:jc w:val="left"/>
    </w:pPr>
    <w:rPr>
      <w:rFonts w:ascii="宋体" w:hAnsi="宋体"/>
      <w:sz w:val="24"/>
      <w:szCs w:val="24"/>
    </w:rPr>
  </w:style>
  <w:style w:type="character" w:customStyle="1" w:styleId="50">
    <w:name w:val="列表段落 字符"/>
    <w:link w:val="49"/>
    <w:qFormat/>
    <w:uiPriority w:val="34"/>
    <w:rPr>
      <w:rFonts w:ascii="宋体" w:hAnsi="宋体"/>
      <w:sz w:val="24"/>
      <w:szCs w:val="24"/>
    </w:rPr>
  </w:style>
  <w:style w:type="paragraph" w:customStyle="1" w:styleId="51">
    <w:name w:val="text intend 3"/>
    <w:basedOn w:val="1"/>
    <w:uiPriority w:val="0"/>
    <w:pPr>
      <w:numPr>
        <w:ilvl w:val="0"/>
        <w:numId w:val="5"/>
      </w:numPr>
      <w:overflowPunct w:val="0"/>
      <w:snapToGrid/>
      <w:textAlignment w:val="baseline"/>
    </w:pPr>
    <w:rPr>
      <w:rFonts w:eastAsia="MS Mincho"/>
      <w:sz w:val="24"/>
      <w:szCs w:val="20"/>
      <w:lang w:eastAsia="en-GB"/>
    </w:rPr>
  </w:style>
  <w:style w:type="paragraph" w:customStyle="1" w:styleId="52">
    <w:name w:val="목록 단락1"/>
    <w:basedOn w:val="1"/>
    <w:qFormat/>
    <w:uiPriority w:val="34"/>
    <w:pPr>
      <w:autoSpaceDE/>
      <w:autoSpaceDN/>
      <w:adjustRightInd/>
      <w:spacing w:after="100" w:afterAutospacing="1" w:line="259" w:lineRule="auto"/>
      <w:ind w:left="840" w:leftChars="400"/>
    </w:pPr>
    <w:rPr>
      <w:rFonts w:eastAsia="MS Gothic"/>
      <w:sz w:val="24"/>
      <w:szCs w:val="20"/>
      <w:lang w:val="en-GB" w:eastAsia="ja-JP"/>
    </w:rPr>
  </w:style>
  <w:style w:type="character" w:customStyle="1" w:styleId="53">
    <w:name w:val="批注文字 字符"/>
    <w:basedOn w:val="29"/>
    <w:link w:val="15"/>
    <w:qFormat/>
    <w:uiPriority w:val="0"/>
    <w:rPr>
      <w:sz w:val="22"/>
      <w:szCs w:val="22"/>
    </w:rPr>
  </w:style>
  <w:style w:type="character" w:customStyle="1" w:styleId="54">
    <w:name w:val="批注主题 字符"/>
    <w:basedOn w:val="53"/>
    <w:link w:val="26"/>
    <w:semiHidden/>
    <w:uiPriority w:val="0"/>
    <w:rPr>
      <w:b/>
      <w:bCs/>
      <w:sz w:val="22"/>
      <w:szCs w:val="22"/>
    </w:rPr>
  </w:style>
  <w:style w:type="paragraph" w:customStyle="1" w:styleId="55">
    <w:name w:val="修订1"/>
    <w:hidden/>
    <w:semiHidden/>
    <w:uiPriority w:val="99"/>
    <w:rPr>
      <w:rFonts w:ascii="Times New Roman" w:hAnsi="Times New Roman" w:eastAsia="宋体" w:cs="Times New Roman"/>
      <w:sz w:val="22"/>
      <w:szCs w:val="22"/>
      <w:lang w:val="en-US" w:eastAsia="en-US" w:bidi="ar-SA"/>
    </w:rPr>
  </w:style>
  <w:style w:type="character" w:customStyle="1" w:styleId="56">
    <w:name w:val="apple-style-span"/>
    <w:basedOn w:val="29"/>
    <w:uiPriority w:val="0"/>
  </w:style>
  <w:style w:type="character" w:customStyle="1" w:styleId="57">
    <w:name w:val="B1 Char1"/>
    <w:link w:val="46"/>
    <w:qFormat/>
    <w:uiPriority w:val="0"/>
    <w:rPr>
      <w:rFonts w:eastAsia="MS Mincho"/>
      <w:lang w:val="en-GB"/>
    </w:rPr>
  </w:style>
  <w:style w:type="character" w:customStyle="1" w:styleId="58">
    <w:name w:val="Caption Char1"/>
    <w:uiPriority w:val="0"/>
    <w:rPr>
      <w:rFonts w:eastAsia="宋体" w:cs="Times New Roman"/>
      <w:b/>
      <w:bCs/>
      <w:sz w:val="20"/>
      <w:szCs w:val="20"/>
      <w:lang w:val="en-GB" w:eastAsia="zh-CN"/>
    </w:rPr>
  </w:style>
  <w:style w:type="paragraph" w:customStyle="1" w:styleId="59">
    <w:name w:val="PL"/>
    <w:link w:val="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0">
    <w:name w:val="PL Char"/>
    <w:link w:val="59"/>
    <w:qFormat/>
    <w:uiPriority w:val="0"/>
    <w:rPr>
      <w:rFonts w:ascii="Courier New" w:hAnsi="Courier New" w:eastAsia="Times New Roman"/>
      <w:sz w:val="16"/>
      <w:lang w:val="en-GB" w:eastAsia="ja-JP"/>
    </w:rPr>
  </w:style>
  <w:style w:type="paragraph" w:customStyle="1" w:styleId="61">
    <w:name w:val="3GPP Text"/>
    <w:basedOn w:val="1"/>
    <w:link w:val="62"/>
    <w:qFormat/>
    <w:uiPriority w:val="0"/>
    <w:pPr>
      <w:overflowPunct w:val="0"/>
      <w:snapToGrid/>
      <w:spacing w:before="120"/>
      <w:textAlignment w:val="baseline"/>
    </w:pPr>
    <w:rPr>
      <w:szCs w:val="20"/>
    </w:rPr>
  </w:style>
  <w:style w:type="character" w:customStyle="1" w:styleId="62">
    <w:name w:val="3GPP Text Char"/>
    <w:link w:val="61"/>
    <w:qFormat/>
    <w:uiPriority w:val="0"/>
    <w:rPr>
      <w:sz w:val="22"/>
    </w:rPr>
  </w:style>
  <w:style w:type="paragraph" w:customStyle="1" w:styleId="63">
    <w:name w:val="Tdoc_Header_2"/>
    <w:basedOn w:val="1"/>
    <w:qFormat/>
    <w:uiPriority w:val="0"/>
    <w:pPr>
      <w:widowControl w:val="0"/>
      <w:tabs>
        <w:tab w:val="left" w:pos="1701"/>
        <w:tab w:val="right" w:pos="9072"/>
        <w:tab w:val="right" w:pos="10206"/>
      </w:tabs>
      <w:autoSpaceDE/>
      <w:autoSpaceDN/>
      <w:adjustRightInd/>
      <w:snapToGrid/>
      <w:spacing w:after="0"/>
    </w:pPr>
    <w:rPr>
      <w:rFonts w:ascii="Arial" w:hAnsi="Arial" w:eastAsia="Batang"/>
      <w:b/>
      <w:sz w:val="18"/>
      <w:szCs w:val="20"/>
      <w:lang w:val="en-GB"/>
    </w:rPr>
  </w:style>
  <w:style w:type="paragraph" w:customStyle="1" w:styleId="64">
    <w:name w:val="3GPP_Header"/>
    <w:basedOn w:val="1"/>
    <w:qFormat/>
    <w:uiPriority w:val="0"/>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65">
    <w:name w:val="apple-converted-space"/>
    <w:qFormat/>
    <w:uiPriority w:val="0"/>
  </w:style>
  <w:style w:type="paragraph" w:customStyle="1" w:styleId="66">
    <w:name w:val="text intend 1"/>
    <w:basedOn w:val="1"/>
    <w:uiPriority w:val="0"/>
    <w:pPr>
      <w:numPr>
        <w:ilvl w:val="0"/>
        <w:numId w:val="6"/>
      </w:numPr>
      <w:overflowPunct w:val="0"/>
      <w:snapToGrid/>
      <w:textAlignment w:val="baseline"/>
    </w:pPr>
    <w:rPr>
      <w:rFonts w:ascii="Calibri" w:hAnsi="Calibri" w:eastAsia="MS Mincho" w:cs="Calibri"/>
      <w:szCs w:val="20"/>
      <w:lang w:val="fi-FI" w:eastAsia="fi-FI"/>
    </w:rPr>
  </w:style>
  <w:style w:type="character" w:styleId="67">
    <w:name w:val="Placeholder Text"/>
    <w:basedOn w:val="29"/>
    <w:semiHidden/>
    <w:uiPriority w:val="99"/>
    <w:rPr>
      <w:color w:val="666666"/>
    </w:rPr>
  </w:style>
  <w:style w:type="paragraph" w:customStyle="1" w:styleId="68">
    <w:name w:val="Doc-text2"/>
    <w:basedOn w:val="1"/>
    <w:link w:val="69"/>
    <w:qFormat/>
    <w:uiPriority w:val="0"/>
    <w:pPr>
      <w:tabs>
        <w:tab w:val="left" w:pos="1622"/>
      </w:tabs>
      <w:overflowPunct w:val="0"/>
      <w:snapToGrid/>
      <w:spacing w:after="0"/>
      <w:ind w:left="1622" w:hanging="363"/>
      <w:jc w:val="left"/>
      <w:textAlignment w:val="baseline"/>
    </w:pPr>
    <w:rPr>
      <w:rFonts w:ascii="Arial" w:hAnsi="Arial" w:eastAsia="Times New Roman"/>
      <w:sz w:val="20"/>
      <w:szCs w:val="20"/>
      <w:lang w:val="en-GB" w:eastAsia="ja-JP"/>
    </w:rPr>
  </w:style>
  <w:style w:type="character" w:customStyle="1" w:styleId="69">
    <w:name w:val="Doc-text2 Char"/>
    <w:link w:val="68"/>
    <w:qFormat/>
    <w:uiPriority w:val="0"/>
    <w:rPr>
      <w:rFonts w:ascii="Arial" w:hAnsi="Arial" w:eastAsia="Times New Roman"/>
      <w:lang w:val="en-GB" w:eastAsia="ja-JP"/>
    </w:rPr>
  </w:style>
  <w:style w:type="character" w:customStyle="1" w:styleId="70">
    <w:name w:val="列表段落 字符3"/>
    <w:qFormat/>
    <w:locked/>
    <w:uiPriority w:val="34"/>
    <w:rPr>
      <w:rFonts w:eastAsia="宋体"/>
      <w:lang w:eastAsia="ja-JP"/>
    </w:rPr>
  </w:style>
  <w:style w:type="paragraph" w:customStyle="1" w:styleId="71">
    <w:name w:val="Statement Body"/>
    <w:basedOn w:val="1"/>
    <w:qFormat/>
    <w:uiPriority w:val="0"/>
    <w:pPr>
      <w:numPr>
        <w:ilvl w:val="0"/>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72">
    <w:name w:val="修订2"/>
    <w:hidden/>
    <w:unhideWhenUsed/>
    <w:uiPriority w:val="99"/>
    <w:rPr>
      <w:rFonts w:ascii="Times New Roman" w:hAnsi="Times New Roman" w:eastAsia="宋体" w:cs="Times New Roman"/>
      <w:sz w:val="22"/>
      <w:szCs w:val="22"/>
      <w:lang w:val="en-US" w:eastAsia="en-US" w:bidi="ar-SA"/>
    </w:rPr>
  </w:style>
  <w:style w:type="character" w:customStyle="1" w:styleId="73">
    <w:name w:val="列表段落 字符4"/>
    <w:qFormat/>
    <w:locked/>
    <w:uiPriority w:val="34"/>
    <w:rPr>
      <w:rFonts w:eastAsia="宋体"/>
      <w:lang w:eastAsia="ja-JP"/>
    </w:rPr>
  </w:style>
  <w:style w:type="paragraph" w:customStyle="1" w:styleId="74">
    <w:name w:val="TAL"/>
    <w:basedOn w:val="1"/>
    <w:link w:val="79"/>
    <w:qFormat/>
    <w:uiPriority w:val="0"/>
    <w:pPr>
      <w:keepNext/>
      <w:keepLines/>
      <w:autoSpaceDE/>
      <w:autoSpaceDN/>
      <w:adjustRightInd/>
      <w:snapToGrid/>
      <w:spacing w:after="0"/>
      <w:jc w:val="left"/>
    </w:pPr>
    <w:rPr>
      <w:rFonts w:ascii="Arial" w:hAnsi="Arial" w:eastAsiaTheme="minorEastAsia"/>
      <w:sz w:val="18"/>
      <w:szCs w:val="20"/>
      <w:lang w:val="en-GB"/>
    </w:rPr>
  </w:style>
  <w:style w:type="paragraph" w:customStyle="1" w:styleId="75">
    <w:name w:val="TAH"/>
    <w:basedOn w:val="76"/>
    <w:link w:val="78"/>
    <w:qFormat/>
    <w:uiPriority w:val="0"/>
    <w:rPr>
      <w:b/>
    </w:rPr>
  </w:style>
  <w:style w:type="paragraph" w:customStyle="1" w:styleId="76">
    <w:name w:val="TAC"/>
    <w:basedOn w:val="74"/>
    <w:link w:val="80"/>
    <w:qFormat/>
    <w:uiPriority w:val="0"/>
    <w:pPr>
      <w:jc w:val="center"/>
    </w:pPr>
  </w:style>
  <w:style w:type="paragraph" w:customStyle="1" w:styleId="77">
    <w:name w:val="TAN"/>
    <w:basedOn w:val="74"/>
    <w:qFormat/>
    <w:uiPriority w:val="0"/>
    <w:pPr>
      <w:ind w:left="851" w:hanging="851"/>
    </w:pPr>
  </w:style>
  <w:style w:type="character" w:customStyle="1" w:styleId="78">
    <w:name w:val="TAH Car"/>
    <w:link w:val="75"/>
    <w:qFormat/>
    <w:uiPriority w:val="0"/>
    <w:rPr>
      <w:rFonts w:ascii="Arial" w:hAnsi="Arial" w:eastAsiaTheme="minorEastAsia"/>
      <w:b/>
      <w:sz w:val="18"/>
      <w:lang w:val="en-GB" w:eastAsia="en-US"/>
    </w:rPr>
  </w:style>
  <w:style w:type="character" w:customStyle="1" w:styleId="79">
    <w:name w:val="TAL Char"/>
    <w:link w:val="74"/>
    <w:qFormat/>
    <w:locked/>
    <w:uiPriority w:val="0"/>
    <w:rPr>
      <w:rFonts w:ascii="Arial" w:hAnsi="Arial" w:eastAsiaTheme="minorEastAsia"/>
      <w:sz w:val="18"/>
      <w:lang w:val="en-GB" w:eastAsia="en-US"/>
    </w:rPr>
  </w:style>
  <w:style w:type="character" w:customStyle="1" w:styleId="80">
    <w:name w:val="TAC Char"/>
    <w:link w:val="76"/>
    <w:qFormat/>
    <w:uiPriority w:val="0"/>
    <w:rPr>
      <w:rFonts w:ascii="Arial" w:hAnsi="Arial" w:eastAsiaTheme="minorEastAsia"/>
      <w:sz w:val="18"/>
      <w:lang w:val="en-GB" w:eastAsia="en-US"/>
    </w:rPr>
  </w:style>
  <w:style w:type="character" w:customStyle="1" w:styleId="81">
    <w:name w:val="未处理的提及1"/>
    <w:basedOn w:val="29"/>
    <w:semiHidden/>
    <w:unhideWhenUsed/>
    <w:uiPriority w:val="99"/>
    <w:rPr>
      <w:color w:val="605E5C"/>
      <w:shd w:val="clear" w:color="auto" w:fill="E1DFDD"/>
    </w:rPr>
  </w:style>
  <w:style w:type="paragraph" w:customStyle="1" w:styleId="82">
    <w:name w:val="Revision"/>
    <w:hidden/>
    <w:unhideWhenUsed/>
    <w:uiPriority w:val="99"/>
    <w:rPr>
      <w:rFonts w:ascii="Times New Roman" w:hAnsi="Times New Roman" w:eastAsia="宋体" w:cs="Times New Roman"/>
      <w:sz w:val="22"/>
      <w:szCs w:val="22"/>
      <w:lang w:val="en-US" w:eastAsia="en-US" w:bidi="ar-SA"/>
    </w:rPr>
  </w:style>
  <w:style w:type="paragraph" w:customStyle="1" w:styleId="83">
    <w:name w:val="First Paragraph"/>
    <w:basedOn w:val="17"/>
    <w:next w:val="17"/>
    <w:qFormat/>
    <w:uiPriority w:val="0"/>
  </w:style>
  <w:style w:type="paragraph" w:customStyle="1" w:styleId="84">
    <w:name w:val="Compact"/>
    <w:basedOn w:val="17"/>
    <w:qFormat/>
    <w:uiPriority w:val="0"/>
    <w:pPr>
      <w:spacing w:before="36" w:after="36"/>
    </w:pPr>
  </w:style>
  <w:style w:type="table" w:customStyle="1" w:styleId="85">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24</Pages>
  <Words>3197</Words>
  <Characters>17589</Characters>
  <Lines>429</Lines>
  <Paragraphs>371</Paragraphs>
  <TotalTime>3</TotalTime>
  <ScaleCrop>false</ScaleCrop>
  <LinksUpToDate>false</LinksUpToDate>
  <CharactersWithSpaces>20415</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2024-05-11T02:32:00Z</dcterms:created>
  <dc:creator>Brian Classon</dc:creator>
  <cp:lastModifiedBy>简荣灵</cp:lastModifiedBy>
  <cp:lastPrinted>2007-06-21T22:08:00Z</cp:lastPrinted>
  <dcterms:modified xsi:type="dcterms:W3CDTF">2025-08-15T17:44:02Z</dcterms:modified>
  <cp:revision>860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